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184D87" w14:textId="77777777" w:rsidR="003D1E73" w:rsidRPr="001F5EE0" w:rsidRDefault="003D1E73" w:rsidP="003D1E73">
      <w:pPr>
        <w:pStyle w:val="Heading1"/>
        <w:rPr>
          <w:b/>
          <w:color w:val="1F4E79" w:themeColor="accent1" w:themeShade="80"/>
        </w:rPr>
      </w:pPr>
      <w:r w:rsidRPr="001F5EE0">
        <w:rPr>
          <w:b/>
          <w:color w:val="1F4E79" w:themeColor="accent1" w:themeShade="80"/>
        </w:rPr>
        <w:t xml:space="preserve">Quarterly Financial Report (QFR) for Manufacturing, Mining, Trade, and Selected Service Industries </w:t>
      </w:r>
      <w:r w:rsidR="000D35F3" w:rsidRPr="001F5EE0">
        <w:rPr>
          <w:b/>
          <w:color w:val="1F4E79" w:themeColor="accent1" w:themeShade="80"/>
        </w:rPr>
        <w:t>Historical Data</w:t>
      </w:r>
    </w:p>
    <w:p w14:paraId="5462F42E" w14:textId="567B9803" w:rsidR="003D1E73" w:rsidRDefault="003D1E73" w:rsidP="00F405D5">
      <w:pPr>
        <w:pStyle w:val="NoSpacing"/>
      </w:pPr>
      <w:r>
        <w:t>Please read this document before using the QFR Historical Data. This document provides background information about QFR and changes in the data</w:t>
      </w:r>
      <w:r w:rsidR="00740483">
        <w:t xml:space="preserve"> over the years</w:t>
      </w:r>
      <w:r w:rsidR="00842980">
        <w:t xml:space="preserve"> to aid</w:t>
      </w:r>
      <w:r>
        <w:t xml:space="preserve"> users. </w:t>
      </w:r>
    </w:p>
    <w:p w14:paraId="6D34241D" w14:textId="045A5A16" w:rsidR="00F9600F" w:rsidRDefault="00F9600F" w:rsidP="00F405D5">
      <w:pPr>
        <w:pStyle w:val="NoSpacing"/>
      </w:pPr>
    </w:p>
    <w:p w14:paraId="193EA0B0" w14:textId="4C072752" w:rsidR="00F9600F" w:rsidRPr="008A1A06" w:rsidRDefault="008A1A06" w:rsidP="00F405D5">
      <w:pPr>
        <w:pStyle w:val="NoSpacing"/>
        <w:rPr>
          <w:b/>
        </w:rPr>
      </w:pPr>
      <w:r w:rsidRPr="008A1A06">
        <w:rPr>
          <w:b/>
        </w:rPr>
        <w:t>Each annual</w:t>
      </w:r>
      <w:r w:rsidR="00F9600F" w:rsidRPr="008A1A06">
        <w:rPr>
          <w:b/>
        </w:rPr>
        <w:t xml:space="preserve"> excel file of data cont</w:t>
      </w:r>
      <w:r w:rsidRPr="008A1A06">
        <w:rPr>
          <w:b/>
        </w:rPr>
        <w:t>ains a key that should</w:t>
      </w:r>
      <w:r w:rsidR="00F71011">
        <w:rPr>
          <w:b/>
        </w:rPr>
        <w:t xml:space="preserve"> be</w:t>
      </w:r>
      <w:r w:rsidRPr="008A1A06">
        <w:rPr>
          <w:b/>
        </w:rPr>
        <w:t xml:space="preserve"> </w:t>
      </w:r>
      <w:r w:rsidR="00F9600F" w:rsidRPr="008A1A06">
        <w:rPr>
          <w:b/>
        </w:rPr>
        <w:t>review</w:t>
      </w:r>
      <w:r w:rsidR="00F71011">
        <w:rPr>
          <w:b/>
        </w:rPr>
        <w:t>ed prior to</w:t>
      </w:r>
      <w:r w:rsidR="00F9600F" w:rsidRPr="008A1A06">
        <w:rPr>
          <w:b/>
        </w:rPr>
        <w:t xml:space="preserve"> using the data. </w:t>
      </w:r>
    </w:p>
    <w:p w14:paraId="733E7521" w14:textId="1654DFFF" w:rsidR="00F405D5" w:rsidRDefault="00F405D5" w:rsidP="00F405D5">
      <w:pPr>
        <w:pStyle w:val="NoSpacing"/>
      </w:pPr>
    </w:p>
    <w:p w14:paraId="5121E88B" w14:textId="0E171099" w:rsidR="00F9600F" w:rsidRDefault="00F9600F" w:rsidP="00F9600F">
      <w:pPr>
        <w:pStyle w:val="Heading2"/>
      </w:pPr>
      <w:r>
        <w:t xml:space="preserve">About the QFR </w:t>
      </w:r>
    </w:p>
    <w:p w14:paraId="25E46F7C" w14:textId="78216FED" w:rsidR="00F9600F" w:rsidRDefault="00F9600F" w:rsidP="00F405D5">
      <w:pPr>
        <w:pStyle w:val="NoSpacing"/>
      </w:pPr>
      <w:r>
        <w:t xml:space="preserve">The Quarterly Financial Report (QFR) publishes up-to-date aggregate statistics on the financial results and position of U.S. corporations. Based upon a sample survey, the QFR presents estimated statements of income and retained earnings, balance sheets, and related financial and operating ratios for manufacturing corporations with assets of $250,000 and over, and corporations in mining, wholesale trade, retail trade, information, and professional and technical services (except legal services) industries, with assets of $50 million and over. </w:t>
      </w:r>
    </w:p>
    <w:p w14:paraId="4861E650" w14:textId="77777777" w:rsidR="00F9600F" w:rsidRDefault="00F9600F" w:rsidP="00F405D5">
      <w:pPr>
        <w:pStyle w:val="NoSpacing"/>
      </w:pPr>
    </w:p>
    <w:p w14:paraId="3E206CD2" w14:textId="77777777" w:rsidR="003D1E73" w:rsidRDefault="004B772A" w:rsidP="00F405D5">
      <w:pPr>
        <w:pStyle w:val="Heading2"/>
      </w:pPr>
      <w:r>
        <w:t>History</w:t>
      </w:r>
    </w:p>
    <w:p w14:paraId="7CFB9B9D" w14:textId="710E0E5E" w:rsidR="004B772A" w:rsidRDefault="004B772A" w:rsidP="00F405D5">
      <w:pPr>
        <w:pStyle w:val="NoSpacing"/>
      </w:pPr>
      <w:r>
        <w:t>QFR began in 1947 and was conducted jointly by the Federal Trade Commission and Securities and Exchange Commission.</w:t>
      </w:r>
      <w:r w:rsidR="008A1A06">
        <w:t xml:space="preserve"> Originally</w:t>
      </w:r>
      <w:r w:rsidR="0068366D">
        <w:t>,</w:t>
      </w:r>
      <w:r w:rsidR="008A1A06">
        <w:t xml:space="preserve"> the QFR only covered the Manufacturing sector. In 1971, coverage was expanded to include Mining, Wholesale Trade, and Retail Trade.</w:t>
      </w:r>
      <w:r>
        <w:t xml:space="preserve"> In 1982</w:t>
      </w:r>
      <w:r w:rsidR="0068366D">
        <w:t>,</w:t>
      </w:r>
      <w:r>
        <w:t xml:space="preserve"> QFR was transferred to the U.S. Census Bureau</w:t>
      </w:r>
      <w:r w:rsidR="00B7266C">
        <w:t xml:space="preserve">. </w:t>
      </w:r>
      <w:r w:rsidR="0068366D">
        <w:t>QFR converted from Standard Industry Classification codes (SIC) to North American Industry Classification System (NAICS) in 2001Q4 and restated data from 2000Q4 to 2001Q4 in terms of NAICS. In 2010</w:t>
      </w:r>
      <w:r w:rsidR="00386A9C">
        <w:t>Q4</w:t>
      </w:r>
      <w:r w:rsidR="0068366D">
        <w:t xml:space="preserve">, QFR expanded to include Information Services and Professional and Technical Services, except legal services. </w:t>
      </w:r>
      <w:r w:rsidR="0013681E">
        <w:t>In 2010Q4</w:t>
      </w:r>
      <w:r w:rsidR="0013681E" w:rsidRPr="0013681E">
        <w:t xml:space="preserve">, QFR </w:t>
      </w:r>
      <w:r w:rsidR="0013681E">
        <w:t>improved treatment of nonresponse</w:t>
      </w:r>
      <w:r w:rsidR="0013681E" w:rsidRPr="0013681E">
        <w:t>.</w:t>
      </w:r>
      <w:r w:rsidR="0013681E">
        <w:t xml:space="preserve">  </w:t>
      </w:r>
    </w:p>
    <w:p w14:paraId="40565EA3" w14:textId="4C7967A9" w:rsidR="001D6DB9" w:rsidRDefault="001D6DB9" w:rsidP="00F405D5">
      <w:pPr>
        <w:pStyle w:val="NoSpacing"/>
      </w:pPr>
    </w:p>
    <w:p w14:paraId="0C68B0EC" w14:textId="1217E3A2" w:rsidR="00C1565D" w:rsidRDefault="001F5EE0" w:rsidP="001F5EE0">
      <w:pPr>
        <w:pStyle w:val="Heading2"/>
      </w:pPr>
      <w:r>
        <w:t xml:space="preserve">More Information </w:t>
      </w:r>
    </w:p>
    <w:p w14:paraId="3B5B431A" w14:textId="27A5CD86" w:rsidR="001D6DB9" w:rsidRDefault="001D6DB9" w:rsidP="00F405D5">
      <w:pPr>
        <w:pStyle w:val="NoSpacing"/>
      </w:pPr>
      <w:r>
        <w:t xml:space="preserve">For more detailed information </w:t>
      </w:r>
      <w:r w:rsidR="001F5EE0">
        <w:t xml:space="preserve">about QFR, including the sampling methodology, please see the Introduction of the QFR publication located here: </w:t>
      </w:r>
    </w:p>
    <w:p w14:paraId="4ED2BE46" w14:textId="5F93B07C" w:rsidR="001D6DB9" w:rsidRDefault="00881BEE" w:rsidP="00F405D5">
      <w:pPr>
        <w:pStyle w:val="NoSpacing"/>
      </w:pPr>
      <w:hyperlink r:id="rId5" w:history="1">
        <w:r w:rsidR="001D6DB9" w:rsidRPr="00243C29">
          <w:rPr>
            <w:rStyle w:val="Hyperlink"/>
          </w:rPr>
          <w:t>https://www.census.gov/econ/qfr/mmws/current/qfr_pub.pdf</w:t>
        </w:r>
      </w:hyperlink>
      <w:r w:rsidR="001D6DB9">
        <w:t xml:space="preserve"> </w:t>
      </w:r>
    </w:p>
    <w:p w14:paraId="5226E0D7" w14:textId="05BB3451" w:rsidR="00F405D5" w:rsidRDefault="00F405D5" w:rsidP="00F405D5">
      <w:pPr>
        <w:pStyle w:val="NoSpacing"/>
      </w:pPr>
    </w:p>
    <w:p w14:paraId="0662889F" w14:textId="3B839170" w:rsidR="00D209C8" w:rsidRDefault="00D209C8" w:rsidP="001F5EE0">
      <w:pPr>
        <w:pStyle w:val="Heading2"/>
      </w:pPr>
      <w:r>
        <w:t xml:space="preserve">Publication Data Changes </w:t>
      </w:r>
    </w:p>
    <w:p w14:paraId="5B758903" w14:textId="3E1D4BB7" w:rsidR="00D209C8" w:rsidRPr="00D209C8" w:rsidRDefault="00D209C8" w:rsidP="00D209C8">
      <w:r>
        <w:t xml:space="preserve">Below is a chronology of the changes in the publication over the years. This information was gathered from the paper publications when the data was originally released. </w:t>
      </w:r>
    </w:p>
    <w:p w14:paraId="388C711F" w14:textId="77777777" w:rsidR="00F405D5" w:rsidRPr="001F5EE0" w:rsidRDefault="00F405D5" w:rsidP="00F405D5">
      <w:pPr>
        <w:pStyle w:val="Heading2"/>
        <w:rPr>
          <w:sz w:val="24"/>
          <w:szCs w:val="24"/>
        </w:rPr>
      </w:pPr>
      <w:r w:rsidRPr="001F5EE0">
        <w:rPr>
          <w:sz w:val="24"/>
          <w:szCs w:val="24"/>
        </w:rPr>
        <w:t>1940’s</w:t>
      </w:r>
    </w:p>
    <w:p w14:paraId="7EDC8401" w14:textId="2C9D7515" w:rsidR="00F405D5" w:rsidRPr="001B57D4" w:rsidRDefault="00400F18" w:rsidP="00F405D5">
      <w:pPr>
        <w:pStyle w:val="NoSpacing"/>
        <w:numPr>
          <w:ilvl w:val="0"/>
          <w:numId w:val="11"/>
        </w:numPr>
        <w:rPr>
          <w:b/>
        </w:rPr>
      </w:pPr>
      <w:r>
        <w:t>1947</w:t>
      </w:r>
      <w:r w:rsidR="00F405D5">
        <w:t xml:space="preserve">Q1 </w:t>
      </w:r>
    </w:p>
    <w:p w14:paraId="6CC12115" w14:textId="1C5E5773" w:rsidR="00F405D5" w:rsidRPr="001B57D4" w:rsidRDefault="0068366D" w:rsidP="00F405D5">
      <w:pPr>
        <w:pStyle w:val="NoSpacing"/>
        <w:numPr>
          <w:ilvl w:val="1"/>
          <w:numId w:val="11"/>
        </w:numPr>
        <w:rPr>
          <w:b/>
        </w:rPr>
      </w:pPr>
      <w:r>
        <w:t xml:space="preserve">QFR began with </w:t>
      </w:r>
      <w:r w:rsidR="00D931CD">
        <w:t>26 data i</w:t>
      </w:r>
      <w:r w:rsidR="00F405D5">
        <w:t>tems</w:t>
      </w:r>
      <w:r w:rsidR="00D931CD">
        <w:t xml:space="preserve"> and 20 industries.</w:t>
      </w:r>
    </w:p>
    <w:p w14:paraId="76A402F7" w14:textId="77777777" w:rsidR="000D35F3" w:rsidRPr="001F5EE0" w:rsidRDefault="000D35F3" w:rsidP="000D35F3">
      <w:pPr>
        <w:pStyle w:val="Heading2"/>
        <w:rPr>
          <w:sz w:val="24"/>
          <w:szCs w:val="24"/>
        </w:rPr>
      </w:pPr>
      <w:r w:rsidRPr="001F5EE0">
        <w:rPr>
          <w:sz w:val="24"/>
          <w:szCs w:val="24"/>
        </w:rPr>
        <w:t>1950’s</w:t>
      </w:r>
    </w:p>
    <w:p w14:paraId="3D634AB1" w14:textId="347D60A1" w:rsidR="00D931CD" w:rsidRDefault="000D35F3" w:rsidP="000D35F3">
      <w:pPr>
        <w:pStyle w:val="ListParagraph"/>
        <w:numPr>
          <w:ilvl w:val="0"/>
          <w:numId w:val="2"/>
        </w:numPr>
      </w:pPr>
      <w:r>
        <w:t xml:space="preserve">1950Q4 </w:t>
      </w:r>
    </w:p>
    <w:p w14:paraId="0D12B88B" w14:textId="545810DB" w:rsidR="000D35F3" w:rsidRDefault="009A01B0" w:rsidP="00D931CD">
      <w:pPr>
        <w:pStyle w:val="ListParagraph"/>
        <w:numPr>
          <w:ilvl w:val="1"/>
          <w:numId w:val="2"/>
        </w:numPr>
      </w:pPr>
      <w:r>
        <w:t xml:space="preserve">The </w:t>
      </w:r>
      <w:r w:rsidR="000D35F3">
        <w:t>Petroleum Refining</w:t>
      </w:r>
      <w:r>
        <w:t xml:space="preserve"> industry was b</w:t>
      </w:r>
      <w:r w:rsidR="000D35F3">
        <w:t>roken</w:t>
      </w:r>
      <w:r>
        <w:t xml:space="preserve"> </w:t>
      </w:r>
      <w:r w:rsidR="00761132">
        <w:t xml:space="preserve">out </w:t>
      </w:r>
      <w:r>
        <w:t>from the Petroleum and Petroleum Products industry. It is now its own</w:t>
      </w:r>
      <w:r w:rsidR="000D35F3">
        <w:t xml:space="preserve"> individual industry</w:t>
      </w:r>
      <w:r w:rsidR="00D931CD">
        <w:t>.</w:t>
      </w:r>
    </w:p>
    <w:p w14:paraId="223E54E2" w14:textId="31911128" w:rsidR="000D35F3" w:rsidRDefault="00400F18" w:rsidP="000D35F3">
      <w:pPr>
        <w:pStyle w:val="ListParagraph"/>
        <w:numPr>
          <w:ilvl w:val="0"/>
          <w:numId w:val="2"/>
        </w:numPr>
      </w:pPr>
      <w:r>
        <w:t>1951Q4</w:t>
      </w:r>
    </w:p>
    <w:p w14:paraId="7CBA848E" w14:textId="348029D2" w:rsidR="000D35F3" w:rsidRPr="003371F3" w:rsidRDefault="008244EC" w:rsidP="003371F3">
      <w:pPr>
        <w:pStyle w:val="ListParagraph"/>
        <w:numPr>
          <w:ilvl w:val="1"/>
          <w:numId w:val="2"/>
        </w:numPr>
        <w:rPr>
          <w:rFonts w:ascii="Arial" w:eastAsia="Times New Roman" w:hAnsi="Arial" w:cs="Arial"/>
          <w:sz w:val="20"/>
          <w:szCs w:val="20"/>
        </w:rPr>
      </w:pPr>
      <w:r>
        <w:lastRenderedPageBreak/>
        <w:t>Added additional publication asset levels. The new asset b</w:t>
      </w:r>
      <w:r w:rsidR="000D35F3">
        <w:t xml:space="preserve">reakouts </w:t>
      </w:r>
      <w:r>
        <w:t>are</w:t>
      </w:r>
      <w:r w:rsidR="000D35F3">
        <w:t xml:space="preserve"> 5 to 9.99 million, </w:t>
      </w:r>
      <w:r w:rsidR="00D931CD">
        <w:t>10 to 49.99 m</w:t>
      </w:r>
      <w:r w:rsidR="000D35F3" w:rsidRPr="000D35F3">
        <w:t>illion</w:t>
      </w:r>
      <w:r w:rsidR="000D35F3">
        <w:t>,</w:t>
      </w:r>
      <w:r w:rsidR="00D931CD">
        <w:t xml:space="preserve"> </w:t>
      </w:r>
      <w:proofErr w:type="gramStart"/>
      <w:r w:rsidR="00D931CD">
        <w:t>50</w:t>
      </w:r>
      <w:proofErr w:type="gramEnd"/>
      <w:r w:rsidR="00D931CD">
        <w:t xml:space="preserve"> to 99.99 m</w:t>
      </w:r>
      <w:r w:rsidR="000D35F3" w:rsidRPr="000D35F3">
        <w:t xml:space="preserve">illion for </w:t>
      </w:r>
      <w:r w:rsidR="00D931CD">
        <w:t>A</w:t>
      </w:r>
      <w:r w:rsidR="000D35F3" w:rsidRPr="000D35F3">
        <w:t xml:space="preserve">ll </w:t>
      </w:r>
      <w:r w:rsidR="00D931CD">
        <w:t>Manufacturing. Data was re-stated back</w:t>
      </w:r>
      <w:r w:rsidR="000D35F3" w:rsidRPr="000D35F3">
        <w:t xml:space="preserve"> to 1951Q1</w:t>
      </w:r>
      <w:r w:rsidR="00D931CD">
        <w:t xml:space="preserve">. </w:t>
      </w:r>
    </w:p>
    <w:p w14:paraId="1A7C4575" w14:textId="33719C82" w:rsidR="000D35F3" w:rsidRDefault="000D35F3" w:rsidP="000D35F3">
      <w:pPr>
        <w:pStyle w:val="ListParagraph"/>
        <w:numPr>
          <w:ilvl w:val="0"/>
          <w:numId w:val="2"/>
        </w:numPr>
      </w:pPr>
      <w:r>
        <w:t>1955Q3</w:t>
      </w:r>
    </w:p>
    <w:p w14:paraId="2C815560" w14:textId="353D09A7" w:rsidR="000D35F3" w:rsidRPr="001F28A8" w:rsidRDefault="000D35F3" w:rsidP="000D35F3">
      <w:pPr>
        <w:pStyle w:val="ListParagraph"/>
        <w:numPr>
          <w:ilvl w:val="1"/>
          <w:numId w:val="2"/>
        </w:numPr>
      </w:pPr>
      <w:r w:rsidRPr="001F28A8">
        <w:t>Started totaling Durable and Nondu</w:t>
      </w:r>
      <w:r w:rsidR="001F28A8">
        <w:t>rable Goods M</w:t>
      </w:r>
      <w:r w:rsidRPr="001F28A8">
        <w:t>anufacturing and publis</w:t>
      </w:r>
      <w:r w:rsidR="00D931CD">
        <w:t xml:space="preserve">hing as Individual Industries. Data was re-stated back to </w:t>
      </w:r>
      <w:r w:rsidRPr="001F28A8">
        <w:t>1954Q3</w:t>
      </w:r>
      <w:r w:rsidR="00D931CD">
        <w:t>.</w:t>
      </w:r>
    </w:p>
    <w:p w14:paraId="78B4FC5E" w14:textId="6667CD69" w:rsidR="000D35F3" w:rsidRDefault="00400F18" w:rsidP="000D35F3">
      <w:pPr>
        <w:pStyle w:val="ListParagraph"/>
        <w:numPr>
          <w:ilvl w:val="0"/>
          <w:numId w:val="2"/>
        </w:numPr>
      </w:pPr>
      <w:r>
        <w:t>1956</w:t>
      </w:r>
      <w:r w:rsidR="000D35F3">
        <w:t>Q4</w:t>
      </w:r>
    </w:p>
    <w:p w14:paraId="5242A0B4" w14:textId="77777777" w:rsidR="000D35F3" w:rsidRPr="001F28A8" w:rsidRDefault="001F28A8" w:rsidP="00842980">
      <w:pPr>
        <w:pStyle w:val="ListParagraph"/>
        <w:numPr>
          <w:ilvl w:val="1"/>
          <w:numId w:val="2"/>
        </w:numPr>
      </w:pPr>
      <w:r w:rsidRPr="001F28A8">
        <w:t xml:space="preserve">Added the following subcategories: </w:t>
      </w:r>
      <w:r w:rsidR="000D35F3" w:rsidRPr="001F28A8">
        <w:t>Metalworking Machinery</w:t>
      </w:r>
      <w:r w:rsidRPr="001F28A8">
        <w:t>, Aircraft and P</w:t>
      </w:r>
      <w:r w:rsidR="000D35F3" w:rsidRPr="001F28A8">
        <w:t>arts</w:t>
      </w:r>
      <w:r w:rsidRPr="001F28A8">
        <w:t xml:space="preserve">, </w:t>
      </w:r>
      <w:r w:rsidR="000D35F3" w:rsidRPr="001F28A8">
        <w:t>Industrial</w:t>
      </w:r>
      <w:r w:rsidRPr="001F28A8">
        <w:t xml:space="preserve"> C</w:t>
      </w:r>
      <w:r w:rsidR="000D35F3" w:rsidRPr="001F28A8">
        <w:t>hemicals</w:t>
      </w:r>
      <w:r w:rsidRPr="001F28A8">
        <w:t>, Drugs and M</w:t>
      </w:r>
      <w:r w:rsidR="000D35F3" w:rsidRPr="001F28A8">
        <w:t>edicines</w:t>
      </w:r>
      <w:r w:rsidRPr="001F28A8">
        <w:t xml:space="preserve">, and Alcoholic Beverages. </w:t>
      </w:r>
    </w:p>
    <w:p w14:paraId="611BEB49" w14:textId="6275794A" w:rsidR="000D35F3" w:rsidRPr="001F28A8" w:rsidRDefault="001F28A8" w:rsidP="000D35F3">
      <w:pPr>
        <w:pStyle w:val="ListParagraph"/>
        <w:numPr>
          <w:ilvl w:val="1"/>
          <w:numId w:val="2"/>
        </w:numPr>
      </w:pPr>
      <w:r>
        <w:t>Added a b</w:t>
      </w:r>
      <w:r w:rsidR="000D35F3" w:rsidRPr="001F28A8">
        <w:t xml:space="preserve">reakout </w:t>
      </w:r>
      <w:r>
        <w:t>of D</w:t>
      </w:r>
      <w:r w:rsidR="000D35F3" w:rsidRPr="001F28A8">
        <w:t xml:space="preserve">urable and </w:t>
      </w:r>
      <w:r>
        <w:t>N</w:t>
      </w:r>
      <w:r w:rsidR="000D35F3" w:rsidRPr="001F28A8">
        <w:t>ondurable</w:t>
      </w:r>
      <w:r>
        <w:t xml:space="preserve"> </w:t>
      </w:r>
      <w:r w:rsidR="00EC1964">
        <w:t xml:space="preserve">Goods </w:t>
      </w:r>
      <w:r>
        <w:t>Manufacturing</w:t>
      </w:r>
      <w:r w:rsidR="000D35F3" w:rsidRPr="001F28A8">
        <w:t xml:space="preserve"> </w:t>
      </w:r>
      <w:r w:rsidR="003371F3">
        <w:t>for</w:t>
      </w:r>
      <w:r w:rsidR="000D35F3" w:rsidRPr="001F28A8">
        <w:t xml:space="preserve"> under and over $5 Million</w:t>
      </w:r>
      <w:r w:rsidR="003371F3">
        <w:t xml:space="preserve"> assets</w:t>
      </w:r>
      <w:r w:rsidR="008244EC">
        <w:t xml:space="preserve">. </w:t>
      </w:r>
    </w:p>
    <w:p w14:paraId="071E3DD1" w14:textId="1C79715F" w:rsidR="000D35F3" w:rsidRPr="00EC1964" w:rsidRDefault="00EC1964" w:rsidP="000D35F3">
      <w:pPr>
        <w:pStyle w:val="ListParagraph"/>
        <w:numPr>
          <w:ilvl w:val="1"/>
          <w:numId w:val="2"/>
        </w:numPr>
      </w:pPr>
      <w:r w:rsidRPr="00EC1964">
        <w:t xml:space="preserve">All changes re-stated </w:t>
      </w:r>
      <w:r w:rsidR="000D35F3" w:rsidRPr="00EC1964">
        <w:t>back to 1956Q2</w:t>
      </w:r>
      <w:r w:rsidRPr="00EC1964">
        <w:t xml:space="preserve">. </w:t>
      </w:r>
    </w:p>
    <w:p w14:paraId="2E363CCA" w14:textId="27F93D54" w:rsidR="000D35F3" w:rsidRDefault="00400F18" w:rsidP="000D35F3">
      <w:pPr>
        <w:pStyle w:val="ListParagraph"/>
        <w:numPr>
          <w:ilvl w:val="0"/>
          <w:numId w:val="2"/>
        </w:numPr>
      </w:pPr>
      <w:r>
        <w:t>1957</w:t>
      </w:r>
      <w:r w:rsidR="000D35F3">
        <w:t>Q4</w:t>
      </w:r>
    </w:p>
    <w:p w14:paraId="71C6DE42" w14:textId="6DD203A4" w:rsidR="000D35F3" w:rsidRPr="00EC1964" w:rsidRDefault="000D35F3" w:rsidP="000D35F3">
      <w:pPr>
        <w:pStyle w:val="ListParagraph"/>
        <w:numPr>
          <w:ilvl w:val="1"/>
          <w:numId w:val="2"/>
        </w:numPr>
      </w:pPr>
      <w:r w:rsidRPr="00EC1964">
        <w:t>Added</w:t>
      </w:r>
      <w:r w:rsidR="001F28A8" w:rsidRPr="00EC1964">
        <w:t xml:space="preserve"> the</w:t>
      </w:r>
      <w:r w:rsidRPr="00EC1964">
        <w:t xml:space="preserve"> subcategory Primary Metal industries </w:t>
      </w:r>
      <w:r w:rsidR="00EC1964" w:rsidRPr="00EC1964">
        <w:t xml:space="preserve">and re-stated </w:t>
      </w:r>
      <w:r w:rsidRPr="00EC1964">
        <w:t>back to 1956Q4</w:t>
      </w:r>
      <w:r w:rsidR="00EC1964" w:rsidRPr="00EC1964">
        <w:t xml:space="preserve">. </w:t>
      </w:r>
    </w:p>
    <w:p w14:paraId="754971C0" w14:textId="4815224F" w:rsidR="000D35F3" w:rsidRPr="00EC1964" w:rsidRDefault="000D35F3" w:rsidP="000D35F3">
      <w:pPr>
        <w:pStyle w:val="ListParagraph"/>
        <w:numPr>
          <w:ilvl w:val="1"/>
          <w:numId w:val="2"/>
        </w:numPr>
      </w:pPr>
      <w:r w:rsidRPr="00EC1964">
        <w:t>Changed</w:t>
      </w:r>
      <w:r w:rsidR="00791D2E" w:rsidRPr="00EC1964">
        <w:t xml:space="preserve"> the in</w:t>
      </w:r>
      <w:r w:rsidRPr="00EC1964">
        <w:t>dustry Products of Petroleum and Coal to no long</w:t>
      </w:r>
      <w:r w:rsidR="003017FF" w:rsidRPr="00EC1964">
        <w:t>er exclude Petroleum Refining. This c</w:t>
      </w:r>
      <w:r w:rsidRPr="00EC1964">
        <w:t>hange</w:t>
      </w:r>
      <w:r w:rsidR="00EA414F">
        <w:t xml:space="preserve"> i</w:t>
      </w:r>
      <w:r w:rsidR="003017FF" w:rsidRPr="00EC1964">
        <w:t>s</w:t>
      </w:r>
      <w:r w:rsidRPr="00EC1964">
        <w:t xml:space="preserve"> effective</w:t>
      </w:r>
      <w:r w:rsidR="003017FF" w:rsidRPr="00EC1964">
        <w:t xml:space="preserve"> with</w:t>
      </w:r>
      <w:r w:rsidRPr="00EC1964">
        <w:t xml:space="preserve"> 1956Q4 data</w:t>
      </w:r>
      <w:r w:rsidR="003017FF" w:rsidRPr="00EC1964">
        <w:t xml:space="preserve">. </w:t>
      </w:r>
    </w:p>
    <w:p w14:paraId="1D9DC29F" w14:textId="0F2EA770" w:rsidR="000D35F3" w:rsidRDefault="000D35F3" w:rsidP="000D35F3">
      <w:pPr>
        <w:pStyle w:val="ListParagraph"/>
        <w:numPr>
          <w:ilvl w:val="0"/>
          <w:numId w:val="2"/>
        </w:numPr>
      </w:pPr>
      <w:r w:rsidRPr="009D69EC">
        <w:t>1958</w:t>
      </w:r>
      <w:r>
        <w:t>Q1</w:t>
      </w:r>
    </w:p>
    <w:p w14:paraId="48400895" w14:textId="56B6D8ED" w:rsidR="000D35F3" w:rsidRPr="000F56E4" w:rsidRDefault="000D35F3" w:rsidP="000D35F3">
      <w:pPr>
        <w:pStyle w:val="ListParagraph"/>
        <w:numPr>
          <w:ilvl w:val="1"/>
          <w:numId w:val="2"/>
        </w:numPr>
        <w:rPr>
          <w:rFonts w:cstheme="minorHAnsi"/>
        </w:rPr>
      </w:pPr>
      <w:r w:rsidRPr="000F56E4">
        <w:rPr>
          <w:rFonts w:cstheme="minorHAnsi"/>
        </w:rPr>
        <w:t xml:space="preserve">Added SIC industry codes in preparation </w:t>
      </w:r>
      <w:r w:rsidR="00CD783D">
        <w:rPr>
          <w:rFonts w:cstheme="minorHAnsi"/>
        </w:rPr>
        <w:t xml:space="preserve">to change from the 1945 edition of SIC codes to the 1957 edition of SIC codes in 1959. </w:t>
      </w:r>
    </w:p>
    <w:p w14:paraId="5B960628" w14:textId="4C0BDD32" w:rsidR="000D35F3" w:rsidRPr="00CD783D" w:rsidRDefault="00400F18" w:rsidP="000D35F3">
      <w:pPr>
        <w:pStyle w:val="ListParagraph"/>
        <w:numPr>
          <w:ilvl w:val="0"/>
          <w:numId w:val="2"/>
        </w:numPr>
        <w:rPr>
          <w:rFonts w:eastAsia="Times New Roman" w:cstheme="minorHAnsi"/>
        </w:rPr>
      </w:pPr>
      <w:r>
        <w:rPr>
          <w:rFonts w:eastAsia="Times New Roman" w:cstheme="minorHAnsi"/>
        </w:rPr>
        <w:t>1959</w:t>
      </w:r>
      <w:r w:rsidR="000D35F3" w:rsidRPr="00CD783D">
        <w:rPr>
          <w:rFonts w:eastAsia="Times New Roman" w:cstheme="minorHAnsi"/>
        </w:rPr>
        <w:t>Q1</w:t>
      </w:r>
    </w:p>
    <w:p w14:paraId="0500E55D" w14:textId="77777777" w:rsidR="00092559" w:rsidRPr="00092559" w:rsidRDefault="00092559" w:rsidP="000D35F3">
      <w:pPr>
        <w:pStyle w:val="ListParagraph"/>
        <w:numPr>
          <w:ilvl w:val="1"/>
          <w:numId w:val="2"/>
        </w:numPr>
        <w:rPr>
          <w:rFonts w:eastAsia="Times New Roman" w:cstheme="minorHAnsi"/>
        </w:rPr>
      </w:pPr>
      <w:r w:rsidRPr="00092559">
        <w:rPr>
          <w:rFonts w:eastAsia="Times New Roman" w:cstheme="minorHAnsi"/>
        </w:rPr>
        <w:t xml:space="preserve">Reduced breakout of assets. </w:t>
      </w:r>
    </w:p>
    <w:p w14:paraId="2BB4B173" w14:textId="77777777" w:rsidR="00092559" w:rsidRPr="00092559" w:rsidRDefault="00092559" w:rsidP="00092559">
      <w:pPr>
        <w:pStyle w:val="ListParagraph"/>
        <w:numPr>
          <w:ilvl w:val="2"/>
          <w:numId w:val="2"/>
        </w:numPr>
        <w:rPr>
          <w:rFonts w:eastAsia="Times New Roman" w:cstheme="minorHAnsi"/>
        </w:rPr>
      </w:pPr>
      <w:r w:rsidRPr="00092559">
        <w:rPr>
          <w:rFonts w:eastAsia="Times New Roman" w:cstheme="minorHAnsi"/>
        </w:rPr>
        <w:t>R</w:t>
      </w:r>
      <w:r w:rsidR="000D35F3" w:rsidRPr="00092559">
        <w:rPr>
          <w:rFonts w:eastAsia="Times New Roman" w:cstheme="minorHAnsi"/>
        </w:rPr>
        <w:t>emoved under $250,000</w:t>
      </w:r>
      <w:r w:rsidRPr="00092559">
        <w:rPr>
          <w:rFonts w:eastAsia="Times New Roman" w:cstheme="minorHAnsi"/>
        </w:rPr>
        <w:t xml:space="preserve">. </w:t>
      </w:r>
    </w:p>
    <w:p w14:paraId="2577180E" w14:textId="28B5173D" w:rsidR="000D35F3" w:rsidRPr="00092559" w:rsidRDefault="00092559" w:rsidP="00092559">
      <w:pPr>
        <w:pStyle w:val="ListParagraph"/>
        <w:numPr>
          <w:ilvl w:val="2"/>
          <w:numId w:val="2"/>
        </w:numPr>
        <w:rPr>
          <w:rFonts w:eastAsia="Times New Roman" w:cstheme="minorHAnsi"/>
        </w:rPr>
      </w:pPr>
      <w:r w:rsidRPr="00092559">
        <w:rPr>
          <w:rFonts w:eastAsia="Times New Roman" w:cstheme="minorHAnsi"/>
        </w:rPr>
        <w:t>R</w:t>
      </w:r>
      <w:r w:rsidR="000D35F3" w:rsidRPr="00092559">
        <w:rPr>
          <w:rFonts w:eastAsia="Times New Roman" w:cstheme="minorHAnsi"/>
        </w:rPr>
        <w:t>eplaced $250</w:t>
      </w:r>
      <w:r w:rsidRPr="00092559">
        <w:rPr>
          <w:rFonts w:eastAsia="Times New Roman" w:cstheme="minorHAnsi"/>
        </w:rPr>
        <w:t>,000 to $999,999 with under $1 m</w:t>
      </w:r>
      <w:r w:rsidR="000D35F3" w:rsidRPr="00092559">
        <w:rPr>
          <w:rFonts w:eastAsia="Times New Roman" w:cstheme="minorHAnsi"/>
        </w:rPr>
        <w:t>illion</w:t>
      </w:r>
      <w:r w:rsidRPr="00092559">
        <w:rPr>
          <w:rFonts w:eastAsia="Times New Roman" w:cstheme="minorHAnsi"/>
        </w:rPr>
        <w:t>.</w:t>
      </w:r>
    </w:p>
    <w:p w14:paraId="64E29DA9" w14:textId="550A7890" w:rsidR="000D35F3" w:rsidRPr="00092559" w:rsidRDefault="00092559" w:rsidP="00092559">
      <w:pPr>
        <w:pStyle w:val="ListParagraph"/>
        <w:numPr>
          <w:ilvl w:val="2"/>
          <w:numId w:val="2"/>
        </w:numPr>
        <w:rPr>
          <w:rFonts w:eastAsia="Times New Roman" w:cstheme="minorHAnsi"/>
        </w:rPr>
      </w:pPr>
      <w:r w:rsidRPr="00092559">
        <w:rPr>
          <w:rFonts w:eastAsia="Times New Roman" w:cstheme="minorHAnsi"/>
        </w:rPr>
        <w:t>B</w:t>
      </w:r>
      <w:r w:rsidR="000D35F3" w:rsidRPr="00092559">
        <w:rPr>
          <w:rFonts w:eastAsia="Times New Roman" w:cstheme="minorHAnsi"/>
        </w:rPr>
        <w:t xml:space="preserve">roke out </w:t>
      </w:r>
      <w:r w:rsidRPr="00092559">
        <w:rPr>
          <w:rFonts w:eastAsia="Times New Roman" w:cstheme="minorHAnsi"/>
        </w:rPr>
        <w:t>$</w:t>
      </w:r>
      <w:r w:rsidR="000D35F3" w:rsidRPr="00092559">
        <w:rPr>
          <w:rFonts w:eastAsia="Times New Roman" w:cstheme="minorHAnsi"/>
        </w:rPr>
        <w:t xml:space="preserve">10-50 million into </w:t>
      </w:r>
      <w:r w:rsidRPr="00092559">
        <w:rPr>
          <w:rFonts w:eastAsia="Times New Roman" w:cstheme="minorHAnsi"/>
        </w:rPr>
        <w:t>$</w:t>
      </w:r>
      <w:r w:rsidR="000D35F3" w:rsidRPr="00092559">
        <w:rPr>
          <w:rFonts w:eastAsia="Times New Roman" w:cstheme="minorHAnsi"/>
        </w:rPr>
        <w:t>10-25</w:t>
      </w:r>
      <w:r w:rsidRPr="00092559">
        <w:rPr>
          <w:rFonts w:eastAsia="Times New Roman" w:cstheme="minorHAnsi"/>
        </w:rPr>
        <w:t xml:space="preserve"> million</w:t>
      </w:r>
      <w:r w:rsidR="000D35F3" w:rsidRPr="00092559">
        <w:rPr>
          <w:rFonts w:eastAsia="Times New Roman" w:cstheme="minorHAnsi"/>
        </w:rPr>
        <w:t xml:space="preserve"> and </w:t>
      </w:r>
      <w:r w:rsidRPr="00092559">
        <w:rPr>
          <w:rFonts w:eastAsia="Times New Roman" w:cstheme="minorHAnsi"/>
        </w:rPr>
        <w:t>$</w:t>
      </w:r>
      <w:r w:rsidR="000D35F3" w:rsidRPr="00092559">
        <w:rPr>
          <w:rFonts w:eastAsia="Times New Roman" w:cstheme="minorHAnsi"/>
        </w:rPr>
        <w:t xml:space="preserve">25-50 </w:t>
      </w:r>
      <w:r w:rsidRPr="00092559">
        <w:rPr>
          <w:rFonts w:eastAsia="Times New Roman" w:cstheme="minorHAnsi"/>
        </w:rPr>
        <w:t>m</w:t>
      </w:r>
      <w:r w:rsidR="000D35F3" w:rsidRPr="00092559">
        <w:rPr>
          <w:rFonts w:eastAsia="Times New Roman" w:cstheme="minorHAnsi"/>
        </w:rPr>
        <w:t>illion</w:t>
      </w:r>
      <w:r w:rsidRPr="00092559">
        <w:rPr>
          <w:rFonts w:eastAsia="Times New Roman" w:cstheme="minorHAnsi"/>
        </w:rPr>
        <w:t xml:space="preserve">. </w:t>
      </w:r>
    </w:p>
    <w:p w14:paraId="64C74EA9" w14:textId="7AC351EF" w:rsidR="000D35F3" w:rsidRPr="00CD783D" w:rsidRDefault="000D35F3" w:rsidP="000D35F3">
      <w:pPr>
        <w:pStyle w:val="ListParagraph"/>
        <w:numPr>
          <w:ilvl w:val="1"/>
          <w:numId w:val="2"/>
        </w:numPr>
        <w:rPr>
          <w:rFonts w:eastAsia="Times New Roman" w:cstheme="minorHAnsi"/>
        </w:rPr>
      </w:pPr>
      <w:r w:rsidRPr="00CD783D">
        <w:rPr>
          <w:rFonts w:eastAsia="Times New Roman" w:cstheme="minorHAnsi"/>
        </w:rPr>
        <w:t xml:space="preserve">Began publishing using updated </w:t>
      </w:r>
      <w:r w:rsidR="00CD783D">
        <w:rPr>
          <w:rFonts w:eastAsia="Times New Roman" w:cstheme="minorHAnsi"/>
        </w:rPr>
        <w:t>1959 SIC codes. P</w:t>
      </w:r>
      <w:r w:rsidRPr="00CD783D">
        <w:rPr>
          <w:rFonts w:eastAsia="Times New Roman" w:cstheme="minorHAnsi"/>
        </w:rPr>
        <w:t>rior to this quarter QFR used the 1945 edition</w:t>
      </w:r>
      <w:r w:rsidR="00CD783D">
        <w:rPr>
          <w:rFonts w:eastAsia="Times New Roman" w:cstheme="minorHAnsi"/>
        </w:rPr>
        <w:t xml:space="preserve"> of SIC codes</w:t>
      </w:r>
      <w:r w:rsidRPr="00CD783D">
        <w:rPr>
          <w:rFonts w:eastAsia="Times New Roman" w:cstheme="minorHAnsi"/>
        </w:rPr>
        <w:t xml:space="preserve">. </w:t>
      </w:r>
    </w:p>
    <w:p w14:paraId="4D21834F" w14:textId="5164D040" w:rsidR="000D35F3" w:rsidRPr="000F56E4" w:rsidRDefault="00400F18" w:rsidP="000D35F3">
      <w:pPr>
        <w:pStyle w:val="ListParagraph"/>
        <w:numPr>
          <w:ilvl w:val="0"/>
          <w:numId w:val="2"/>
        </w:numPr>
        <w:rPr>
          <w:rFonts w:eastAsia="Times New Roman" w:cstheme="minorHAnsi"/>
        </w:rPr>
      </w:pPr>
      <w:r>
        <w:rPr>
          <w:rFonts w:cstheme="minorHAnsi"/>
        </w:rPr>
        <w:t>1959</w:t>
      </w:r>
      <w:r w:rsidR="000D35F3" w:rsidRPr="000F56E4">
        <w:rPr>
          <w:rFonts w:cstheme="minorHAnsi"/>
        </w:rPr>
        <w:t xml:space="preserve">Q3 </w:t>
      </w:r>
    </w:p>
    <w:p w14:paraId="19B74658" w14:textId="5BDF0AF5" w:rsidR="000D35F3" w:rsidRPr="00092559" w:rsidRDefault="00092559" w:rsidP="000D35F3">
      <w:pPr>
        <w:pStyle w:val="ListParagraph"/>
        <w:numPr>
          <w:ilvl w:val="1"/>
          <w:numId w:val="2"/>
        </w:numPr>
        <w:rPr>
          <w:rFonts w:eastAsia="Times New Roman" w:cstheme="minorHAnsi"/>
        </w:rPr>
      </w:pPr>
      <w:r w:rsidRPr="00092559">
        <w:rPr>
          <w:rFonts w:cstheme="minorHAnsi"/>
        </w:rPr>
        <w:t>J</w:t>
      </w:r>
      <w:r w:rsidR="000D35F3" w:rsidRPr="00092559">
        <w:rPr>
          <w:rFonts w:cstheme="minorHAnsi"/>
        </w:rPr>
        <w:t xml:space="preserve">oined </w:t>
      </w:r>
      <w:r>
        <w:rPr>
          <w:rFonts w:cstheme="minorHAnsi"/>
        </w:rPr>
        <w:t xml:space="preserve">the </w:t>
      </w:r>
      <w:r w:rsidR="000D35F3" w:rsidRPr="00092559">
        <w:rPr>
          <w:rFonts w:cstheme="minorHAnsi"/>
        </w:rPr>
        <w:t xml:space="preserve">items </w:t>
      </w:r>
      <w:r>
        <w:rPr>
          <w:rFonts w:cstheme="minorHAnsi"/>
        </w:rPr>
        <w:t>“</w:t>
      </w:r>
      <w:r w:rsidR="000D35F3" w:rsidRPr="00092559">
        <w:rPr>
          <w:rFonts w:cstheme="minorHAnsi"/>
        </w:rPr>
        <w:t>Amortization of emergency facilities completed after January 1</w:t>
      </w:r>
      <w:r>
        <w:rPr>
          <w:rFonts w:cstheme="minorHAnsi"/>
        </w:rPr>
        <w:t>,</w:t>
      </w:r>
      <w:r w:rsidR="000D35F3" w:rsidRPr="00092559">
        <w:rPr>
          <w:rFonts w:cstheme="minorHAnsi"/>
        </w:rPr>
        <w:t xml:space="preserve"> 1950</w:t>
      </w:r>
      <w:r>
        <w:rPr>
          <w:rFonts w:cstheme="minorHAnsi"/>
        </w:rPr>
        <w:t>” and “Other D</w:t>
      </w:r>
      <w:r w:rsidR="000D35F3" w:rsidRPr="00092559">
        <w:rPr>
          <w:rFonts w:cstheme="minorHAnsi"/>
        </w:rPr>
        <w:t xml:space="preserve">epreciation and </w:t>
      </w:r>
      <w:r>
        <w:rPr>
          <w:rFonts w:cstheme="minorHAnsi"/>
        </w:rPr>
        <w:t>D</w:t>
      </w:r>
      <w:r w:rsidR="000D35F3" w:rsidRPr="00092559">
        <w:rPr>
          <w:rFonts w:cstheme="minorHAnsi"/>
        </w:rPr>
        <w:t>epletion</w:t>
      </w:r>
      <w:r>
        <w:rPr>
          <w:rFonts w:cstheme="minorHAnsi"/>
        </w:rPr>
        <w:t>”</w:t>
      </w:r>
      <w:r w:rsidR="000D35F3" w:rsidRPr="00092559">
        <w:rPr>
          <w:rFonts w:cstheme="minorHAnsi"/>
        </w:rPr>
        <w:t xml:space="preserve"> into </w:t>
      </w:r>
      <w:r>
        <w:rPr>
          <w:rFonts w:cstheme="minorHAnsi"/>
        </w:rPr>
        <w:t>“</w:t>
      </w:r>
      <w:r w:rsidR="000D35F3" w:rsidRPr="00092559">
        <w:rPr>
          <w:rFonts w:eastAsia="Times New Roman" w:cstheme="minorHAnsi"/>
        </w:rPr>
        <w:t xml:space="preserve">Depreciation and </w:t>
      </w:r>
      <w:r>
        <w:rPr>
          <w:rFonts w:eastAsia="Times New Roman" w:cstheme="minorHAnsi"/>
        </w:rPr>
        <w:t>D</w:t>
      </w:r>
      <w:r w:rsidR="000D35F3" w:rsidRPr="00092559">
        <w:rPr>
          <w:rFonts w:eastAsia="Times New Roman" w:cstheme="minorHAnsi"/>
        </w:rPr>
        <w:t xml:space="preserve">epletion </w:t>
      </w:r>
      <w:r>
        <w:rPr>
          <w:rFonts w:eastAsia="Times New Roman" w:cstheme="minorHAnsi"/>
        </w:rPr>
        <w:t>I</w:t>
      </w:r>
      <w:r w:rsidR="000D35F3" w:rsidRPr="00092559">
        <w:rPr>
          <w:rFonts w:eastAsia="Times New Roman" w:cstheme="minorHAnsi"/>
        </w:rPr>
        <w:t xml:space="preserve">ncluded </w:t>
      </w:r>
      <w:r>
        <w:rPr>
          <w:rFonts w:eastAsia="Times New Roman" w:cstheme="minorHAnsi"/>
        </w:rPr>
        <w:t>Above, including A</w:t>
      </w:r>
      <w:r w:rsidR="000D35F3" w:rsidRPr="00092559">
        <w:rPr>
          <w:rFonts w:eastAsia="Times New Roman" w:cstheme="minorHAnsi"/>
        </w:rPr>
        <w:t xml:space="preserve">ccelerated </w:t>
      </w:r>
      <w:r>
        <w:rPr>
          <w:rFonts w:eastAsia="Times New Roman" w:cstheme="minorHAnsi"/>
        </w:rPr>
        <w:t>A</w:t>
      </w:r>
      <w:r w:rsidR="000D35F3" w:rsidRPr="00092559">
        <w:rPr>
          <w:rFonts w:eastAsia="Times New Roman" w:cstheme="minorHAnsi"/>
        </w:rPr>
        <w:t xml:space="preserve">mortization of </w:t>
      </w:r>
      <w:r>
        <w:rPr>
          <w:rFonts w:eastAsia="Times New Roman" w:cstheme="minorHAnsi"/>
        </w:rPr>
        <w:t>E</w:t>
      </w:r>
      <w:r w:rsidR="000D35F3" w:rsidRPr="00092559">
        <w:rPr>
          <w:rFonts w:eastAsia="Times New Roman" w:cstheme="minorHAnsi"/>
        </w:rPr>
        <w:t xml:space="preserve">mergency </w:t>
      </w:r>
      <w:r>
        <w:rPr>
          <w:rFonts w:eastAsia="Times New Roman" w:cstheme="minorHAnsi"/>
        </w:rPr>
        <w:t>Facilities”</w:t>
      </w:r>
      <w:r w:rsidR="00E4160D">
        <w:rPr>
          <w:rFonts w:eastAsia="Times New Roman" w:cstheme="minorHAnsi"/>
        </w:rPr>
        <w:t xml:space="preserve">. </w:t>
      </w:r>
    </w:p>
    <w:p w14:paraId="13677BAE" w14:textId="249DC559" w:rsidR="00CD783D" w:rsidRPr="001F5EE0" w:rsidRDefault="00CD783D" w:rsidP="00CD783D">
      <w:pPr>
        <w:pStyle w:val="Heading2"/>
        <w:rPr>
          <w:sz w:val="24"/>
          <w:szCs w:val="24"/>
        </w:rPr>
      </w:pPr>
      <w:r w:rsidRPr="001F5EE0">
        <w:rPr>
          <w:sz w:val="24"/>
          <w:szCs w:val="24"/>
        </w:rPr>
        <w:t>1960’s</w:t>
      </w:r>
    </w:p>
    <w:p w14:paraId="375F9578" w14:textId="4CCB9FFE" w:rsidR="00CD783D" w:rsidRPr="00DA3ACE" w:rsidRDefault="00400F18" w:rsidP="00CD783D">
      <w:pPr>
        <w:pStyle w:val="ListParagraph"/>
        <w:numPr>
          <w:ilvl w:val="0"/>
          <w:numId w:val="2"/>
        </w:numPr>
        <w:rPr>
          <w:b/>
        </w:rPr>
      </w:pPr>
      <w:r>
        <w:t>1962</w:t>
      </w:r>
      <w:r w:rsidR="00CD783D">
        <w:t>Q2</w:t>
      </w:r>
    </w:p>
    <w:p w14:paraId="68F5E220" w14:textId="4D877A84" w:rsidR="00CD783D" w:rsidRPr="00CD783D" w:rsidRDefault="00CD783D" w:rsidP="00CD783D">
      <w:pPr>
        <w:pStyle w:val="ListParagraph"/>
        <w:numPr>
          <w:ilvl w:val="1"/>
          <w:numId w:val="2"/>
        </w:numPr>
        <w:rPr>
          <w:b/>
        </w:rPr>
      </w:pPr>
      <w:r w:rsidRPr="00CD783D">
        <w:t>Added subcategory Dairy Products</w:t>
      </w:r>
      <w:r w:rsidR="00761132">
        <w:t xml:space="preserve">, SIC code </w:t>
      </w:r>
      <w:r w:rsidR="00761132" w:rsidRPr="00CD783D">
        <w:t>202</w:t>
      </w:r>
      <w:r w:rsidR="00E4160D">
        <w:t xml:space="preserve">. </w:t>
      </w:r>
    </w:p>
    <w:p w14:paraId="3BF0D50B" w14:textId="5702C808" w:rsidR="00CD783D" w:rsidRPr="00CD783D" w:rsidRDefault="00CD783D" w:rsidP="00CD783D">
      <w:pPr>
        <w:pStyle w:val="ListParagraph"/>
        <w:numPr>
          <w:ilvl w:val="1"/>
          <w:numId w:val="2"/>
        </w:numPr>
        <w:rPr>
          <w:b/>
        </w:rPr>
      </w:pPr>
      <w:r w:rsidRPr="00CD783D">
        <w:t>Added subcategory Bakery Products</w:t>
      </w:r>
      <w:r w:rsidR="00761132">
        <w:t xml:space="preserve">, SIC code </w:t>
      </w:r>
      <w:r w:rsidR="00761132" w:rsidRPr="00CD783D">
        <w:t>205</w:t>
      </w:r>
      <w:r w:rsidR="00E4160D">
        <w:t>.</w:t>
      </w:r>
      <w:r w:rsidR="00615A6B">
        <w:t xml:space="preserve"> Data was revised back to 1961</w:t>
      </w:r>
      <w:r w:rsidR="003C6B01">
        <w:t xml:space="preserve">Q2. </w:t>
      </w:r>
      <w:r w:rsidR="00E4160D">
        <w:t xml:space="preserve"> </w:t>
      </w:r>
    </w:p>
    <w:p w14:paraId="5D76D809" w14:textId="3916CB37" w:rsidR="00CD783D" w:rsidRDefault="00400F18" w:rsidP="00CD783D">
      <w:pPr>
        <w:pStyle w:val="ListParagraph"/>
        <w:numPr>
          <w:ilvl w:val="0"/>
          <w:numId w:val="2"/>
        </w:numPr>
      </w:pPr>
      <w:r>
        <w:t>1965</w:t>
      </w:r>
      <w:r w:rsidR="00CD783D">
        <w:t>Q1</w:t>
      </w:r>
    </w:p>
    <w:p w14:paraId="334AA677" w14:textId="7E995C50" w:rsidR="00CD783D" w:rsidRPr="00CF7C87" w:rsidRDefault="00CD783D" w:rsidP="00CD783D">
      <w:pPr>
        <w:pStyle w:val="ListParagraph"/>
        <w:numPr>
          <w:ilvl w:val="1"/>
          <w:numId w:val="2"/>
        </w:numPr>
      </w:pPr>
      <w:r w:rsidRPr="00CF7C87">
        <w:t>Item “Reserves not reflected elsewhere” should now be reported under “earned surplus and surplus reserves” or as a liability, depending on the nature of the reserve. Item remains in table until 1974Q1 when all items are changed</w:t>
      </w:r>
      <w:r w:rsidR="00E4160D">
        <w:t xml:space="preserve">. </w:t>
      </w:r>
    </w:p>
    <w:p w14:paraId="31B7B9CB" w14:textId="47B9B821" w:rsidR="00404941" w:rsidRDefault="00404941" w:rsidP="00CD783D">
      <w:pPr>
        <w:pStyle w:val="ListParagraph"/>
        <w:numPr>
          <w:ilvl w:val="1"/>
          <w:numId w:val="2"/>
        </w:numPr>
      </w:pPr>
      <w:r>
        <w:t xml:space="preserve">The “receivables and payables” item will now exclude “nontrade items.” It should be reported as other current assets/liabilities. </w:t>
      </w:r>
    </w:p>
    <w:p w14:paraId="0F68B9BB" w14:textId="2C5DA67C" w:rsidR="00CD783D" w:rsidRPr="001C733D" w:rsidRDefault="00400F18" w:rsidP="00CD783D">
      <w:pPr>
        <w:pStyle w:val="ListParagraph"/>
        <w:numPr>
          <w:ilvl w:val="0"/>
          <w:numId w:val="2"/>
        </w:numPr>
      </w:pPr>
      <w:r>
        <w:t>1967</w:t>
      </w:r>
      <w:r w:rsidR="00CD783D" w:rsidRPr="001C733D">
        <w:t>Q4</w:t>
      </w:r>
    </w:p>
    <w:p w14:paraId="3FA9F468" w14:textId="68CF8A31" w:rsidR="00CD783D" w:rsidRDefault="008244EC" w:rsidP="00CD783D">
      <w:pPr>
        <w:pStyle w:val="ListParagraph"/>
        <w:numPr>
          <w:ilvl w:val="1"/>
          <w:numId w:val="2"/>
        </w:numPr>
      </w:pPr>
      <w:r>
        <w:t>Certainty asset total raised</w:t>
      </w:r>
      <w:r w:rsidR="00CD783D" w:rsidRPr="001C733D">
        <w:t xml:space="preserve"> </w:t>
      </w:r>
      <w:r w:rsidR="00A51A4C">
        <w:t>from $5 million to $</w:t>
      </w:r>
      <w:r w:rsidR="00CD783D" w:rsidRPr="001C733D">
        <w:t xml:space="preserve">10 </w:t>
      </w:r>
      <w:r w:rsidR="00A51A4C">
        <w:t>m</w:t>
      </w:r>
      <w:r w:rsidR="00CD783D" w:rsidRPr="001C733D">
        <w:t>illion</w:t>
      </w:r>
      <w:r w:rsidR="00A51A4C">
        <w:t>.</w:t>
      </w:r>
    </w:p>
    <w:p w14:paraId="0995F84F" w14:textId="6F378DD9" w:rsidR="00CD783D" w:rsidRPr="00B85AFE" w:rsidRDefault="00400F18" w:rsidP="00CD783D">
      <w:pPr>
        <w:pStyle w:val="ListParagraph"/>
        <w:numPr>
          <w:ilvl w:val="0"/>
          <w:numId w:val="2"/>
        </w:numPr>
        <w:rPr>
          <w:b/>
        </w:rPr>
      </w:pPr>
      <w:r>
        <w:t>1969</w:t>
      </w:r>
      <w:r w:rsidR="00CD783D">
        <w:t>Q1</w:t>
      </w:r>
    </w:p>
    <w:p w14:paraId="5963AD30" w14:textId="274E3FB1" w:rsidR="00CD783D" w:rsidRPr="003C6B01" w:rsidRDefault="00CD783D" w:rsidP="00CD783D">
      <w:pPr>
        <w:pStyle w:val="ListParagraph"/>
        <w:numPr>
          <w:ilvl w:val="1"/>
          <w:numId w:val="2"/>
        </w:numPr>
      </w:pPr>
      <w:r w:rsidRPr="003C6B01">
        <w:lastRenderedPageBreak/>
        <w:t>Newspaper Publishing is now included in</w:t>
      </w:r>
      <w:r w:rsidR="003C6B01">
        <w:t xml:space="preserve"> SIC Code</w:t>
      </w:r>
      <w:r w:rsidRPr="003C6B01">
        <w:t xml:space="preserve"> 26. </w:t>
      </w:r>
    </w:p>
    <w:p w14:paraId="621E16DA" w14:textId="3B406FCE" w:rsidR="00CD783D" w:rsidRPr="001F5EE0" w:rsidRDefault="00A51A4C" w:rsidP="00A51A4C">
      <w:pPr>
        <w:pStyle w:val="Heading2"/>
        <w:rPr>
          <w:sz w:val="24"/>
          <w:szCs w:val="24"/>
        </w:rPr>
      </w:pPr>
      <w:r w:rsidRPr="001F5EE0">
        <w:rPr>
          <w:sz w:val="24"/>
          <w:szCs w:val="24"/>
        </w:rPr>
        <w:t>1970’s</w:t>
      </w:r>
    </w:p>
    <w:p w14:paraId="566B50A1" w14:textId="41015F93" w:rsidR="00A51A4C" w:rsidRPr="00CD17B1" w:rsidRDefault="00A51A4C" w:rsidP="00A51A4C">
      <w:pPr>
        <w:pStyle w:val="ListParagraph"/>
        <w:numPr>
          <w:ilvl w:val="0"/>
          <w:numId w:val="1"/>
        </w:numPr>
        <w:rPr>
          <w:b/>
        </w:rPr>
      </w:pPr>
      <w:r>
        <w:t>19</w:t>
      </w:r>
      <w:r w:rsidR="00400F18">
        <w:t>73</w:t>
      </w:r>
      <w:r>
        <w:t>Q2</w:t>
      </w:r>
    </w:p>
    <w:p w14:paraId="42A8D3E1" w14:textId="26695C4B" w:rsidR="00615A6B" w:rsidRPr="00615A6B" w:rsidRDefault="00615A6B" w:rsidP="00A51A4C">
      <w:pPr>
        <w:pStyle w:val="ListParagraph"/>
        <w:numPr>
          <w:ilvl w:val="1"/>
          <w:numId w:val="1"/>
        </w:numPr>
        <w:rPr>
          <w:b/>
        </w:rPr>
      </w:pPr>
      <w:r>
        <w:t xml:space="preserve">Began reclassifying a company’s size every quarter for publication based on the report assets. Prior to this change, size was based on quarter one assets or the company’s first quarter report and maintained until the first quarter of the next year. </w:t>
      </w:r>
    </w:p>
    <w:p w14:paraId="1ADAF3AD" w14:textId="11759AAD" w:rsidR="00A51A4C" w:rsidRDefault="00400F18" w:rsidP="00A51A4C">
      <w:pPr>
        <w:pStyle w:val="ListParagraph"/>
        <w:numPr>
          <w:ilvl w:val="0"/>
          <w:numId w:val="1"/>
        </w:numPr>
      </w:pPr>
      <w:r>
        <w:t>1973</w:t>
      </w:r>
      <w:r w:rsidR="00A51A4C">
        <w:t>Q4</w:t>
      </w:r>
    </w:p>
    <w:p w14:paraId="5CC3019F" w14:textId="623F026E" w:rsidR="00A51A4C" w:rsidRDefault="00D61916" w:rsidP="00A51A4C">
      <w:pPr>
        <w:pStyle w:val="ListParagraph"/>
        <w:numPr>
          <w:ilvl w:val="1"/>
          <w:numId w:val="1"/>
        </w:numPr>
      </w:pPr>
      <w:r>
        <w:t>A question about c</w:t>
      </w:r>
      <w:r w:rsidR="00A51A4C">
        <w:t xml:space="preserve">onsolidation of domestic operations of majority owned subsidiaries </w:t>
      </w:r>
      <w:r>
        <w:t xml:space="preserve">was </w:t>
      </w:r>
      <w:r w:rsidR="00A51A4C">
        <w:t>added</w:t>
      </w:r>
      <w:r w:rsidR="003C6B01">
        <w:t xml:space="preserve"> to the survey</w:t>
      </w:r>
      <w:r w:rsidR="00A51A4C">
        <w:t xml:space="preserve">. </w:t>
      </w:r>
    </w:p>
    <w:p w14:paraId="40221F6E" w14:textId="2139C14A" w:rsidR="00A51A4C" w:rsidRPr="00FB2D2B" w:rsidRDefault="00D61916" w:rsidP="00A51A4C">
      <w:pPr>
        <w:pStyle w:val="ListParagraph"/>
        <w:numPr>
          <w:ilvl w:val="1"/>
          <w:numId w:val="1"/>
        </w:numPr>
      </w:pPr>
      <w:r>
        <w:t xml:space="preserve">Began </w:t>
      </w:r>
      <w:r w:rsidR="00A51A4C">
        <w:t>revis</w:t>
      </w:r>
      <w:r>
        <w:t>ing data up to one year after initial release</w:t>
      </w:r>
      <w:r w:rsidR="00A51A4C">
        <w:t xml:space="preserve">. </w:t>
      </w:r>
    </w:p>
    <w:p w14:paraId="6861B3FF" w14:textId="20232043" w:rsidR="00A51A4C" w:rsidRPr="00B324C8" w:rsidRDefault="00400F18" w:rsidP="00A51A4C">
      <w:pPr>
        <w:pStyle w:val="ListParagraph"/>
        <w:numPr>
          <w:ilvl w:val="0"/>
          <w:numId w:val="1"/>
        </w:numPr>
      </w:pPr>
      <w:r>
        <w:t>1974</w:t>
      </w:r>
      <w:r w:rsidR="00A51A4C" w:rsidRPr="00B324C8">
        <w:t>Q1</w:t>
      </w:r>
    </w:p>
    <w:p w14:paraId="461FE5BB" w14:textId="368B255F" w:rsidR="00D61916" w:rsidRPr="00D61916" w:rsidRDefault="00D61916" w:rsidP="00A51A4C">
      <w:pPr>
        <w:pStyle w:val="ListParagraph"/>
        <w:numPr>
          <w:ilvl w:val="1"/>
          <w:numId w:val="1"/>
        </w:numPr>
        <w:rPr>
          <w:b/>
        </w:rPr>
      </w:pPr>
      <w:r>
        <w:t>Change to how companies are classified</w:t>
      </w:r>
      <w:r w:rsidR="00BA00A3">
        <w:t xml:space="preserve">. </w:t>
      </w:r>
      <w:r w:rsidR="00792642">
        <w:t xml:space="preserve">Previously a company had to engage in 50% or more of manufacturing in order to be classified as a manufacturer. </w:t>
      </w:r>
      <w:r w:rsidR="00BA00A3">
        <w:t xml:space="preserve">Now, if manufacturing is their primary operation, even if manufacturing makes up less than 50%, then they are classified in manufacturing. This allows for coverage of less companies and is less stringent. </w:t>
      </w:r>
    </w:p>
    <w:p w14:paraId="387C6DDE" w14:textId="5C776F2F" w:rsidR="00BA00A3" w:rsidRDefault="00A24CD6" w:rsidP="00A51A4C">
      <w:pPr>
        <w:pStyle w:val="ListParagraph"/>
        <w:numPr>
          <w:ilvl w:val="1"/>
          <w:numId w:val="1"/>
        </w:numPr>
      </w:pPr>
      <w:r>
        <w:t xml:space="preserve">Change to consolidation rules for foreign companies. Foreign income and investments are now reported on a separate line from domestic income. This was done to minimize the effect in the QFR tables of foreign operations of multinational corporations. Data was revised back to 1973Q4 to reflect this change. </w:t>
      </w:r>
    </w:p>
    <w:p w14:paraId="57F29695" w14:textId="32A32B36" w:rsidR="00B950DF" w:rsidRPr="00792642" w:rsidRDefault="00B950DF" w:rsidP="00B950DF">
      <w:pPr>
        <w:pStyle w:val="ListParagraph"/>
        <w:numPr>
          <w:ilvl w:val="1"/>
          <w:numId w:val="1"/>
        </w:numPr>
      </w:pPr>
      <w:r w:rsidRPr="00792642">
        <w:t xml:space="preserve">Changes to industry coverage. Collapsing of QFR industries was done because of recent merger movement, which made whole company classification less meaningful. Reduction of contamination from multi industry companies. </w:t>
      </w:r>
      <w:r w:rsidR="00D209C8">
        <w:t xml:space="preserve">The following changes were made: </w:t>
      </w:r>
    </w:p>
    <w:p w14:paraId="5D8EFE71" w14:textId="2C0C586E" w:rsidR="00A51A4C" w:rsidRPr="00792642" w:rsidRDefault="00792642" w:rsidP="00792642">
      <w:pPr>
        <w:pStyle w:val="ListParagraph"/>
        <w:numPr>
          <w:ilvl w:val="2"/>
          <w:numId w:val="1"/>
        </w:numPr>
        <w:rPr>
          <w:b/>
        </w:rPr>
      </w:pPr>
      <w:r>
        <w:t xml:space="preserve">SIC Code </w:t>
      </w:r>
      <w:r w:rsidR="00A51A4C" w:rsidRPr="00792642">
        <w:t>37.7 Aircraft, guided missiles and parts instead of</w:t>
      </w:r>
      <w:r w:rsidR="00615A6B">
        <w:t xml:space="preserve"> SIC Code</w:t>
      </w:r>
      <w:r w:rsidR="00A51A4C" w:rsidRPr="00792642">
        <w:t xml:space="preserve"> 372 Aircraft and parts</w:t>
      </w:r>
    </w:p>
    <w:p w14:paraId="51C41D6D" w14:textId="7C652992" w:rsidR="00A51A4C" w:rsidRPr="00792642" w:rsidRDefault="00615A6B" w:rsidP="00B950DF">
      <w:pPr>
        <w:pStyle w:val="ListParagraph"/>
        <w:numPr>
          <w:ilvl w:val="2"/>
          <w:numId w:val="1"/>
        </w:numPr>
      </w:pPr>
      <w:r>
        <w:t xml:space="preserve">SIC Code </w:t>
      </w:r>
      <w:r w:rsidR="00A51A4C" w:rsidRPr="00792642">
        <w:t>33.5,6 Primary Nonferrous metals instead of</w:t>
      </w:r>
      <w:r>
        <w:t xml:space="preserve"> SIC Code</w:t>
      </w:r>
      <w:r w:rsidR="00A51A4C" w:rsidRPr="00792642">
        <w:t xml:space="preserve"> 332</w:t>
      </w:r>
    </w:p>
    <w:p w14:paraId="6BA9B969" w14:textId="066B1C38" w:rsidR="00A51A4C" w:rsidRPr="00792642" w:rsidRDefault="00615A6B" w:rsidP="00B950DF">
      <w:pPr>
        <w:pStyle w:val="ListParagraph"/>
        <w:numPr>
          <w:ilvl w:val="2"/>
          <w:numId w:val="1"/>
        </w:numPr>
        <w:rPr>
          <w:b/>
        </w:rPr>
      </w:pPr>
      <w:r>
        <w:t xml:space="preserve">SIC Code </w:t>
      </w:r>
      <w:r w:rsidR="00A51A4C" w:rsidRPr="00792642">
        <w:t>354 Metalworking machinery and equipment removed</w:t>
      </w:r>
    </w:p>
    <w:p w14:paraId="693AD0AD" w14:textId="5A4336C1" w:rsidR="00A51A4C" w:rsidRPr="00792642" w:rsidRDefault="00615A6B" w:rsidP="00B950DF">
      <w:pPr>
        <w:pStyle w:val="ListParagraph"/>
        <w:numPr>
          <w:ilvl w:val="2"/>
          <w:numId w:val="1"/>
        </w:numPr>
      </w:pPr>
      <w:r>
        <w:t>SIC Code 39 Miscellaneous</w:t>
      </w:r>
      <w:r w:rsidR="00A51A4C" w:rsidRPr="00792642">
        <w:t xml:space="preserve"> Manufacturing and </w:t>
      </w:r>
      <w:r w:rsidR="00A51A4C" w:rsidRPr="00C71525">
        <w:t>ordnance</w:t>
      </w:r>
      <w:r w:rsidR="00A51A4C" w:rsidRPr="00792642">
        <w:t xml:space="preserve"> removed</w:t>
      </w:r>
    </w:p>
    <w:p w14:paraId="10646D78" w14:textId="5F9869DF" w:rsidR="00A51A4C" w:rsidRPr="00792642" w:rsidRDefault="00615A6B" w:rsidP="00B950DF">
      <w:pPr>
        <w:pStyle w:val="ListParagraph"/>
        <w:numPr>
          <w:ilvl w:val="2"/>
          <w:numId w:val="1"/>
        </w:numPr>
      </w:pPr>
      <w:r>
        <w:t xml:space="preserve">SIC Code </w:t>
      </w:r>
      <w:r w:rsidR="00A51A4C" w:rsidRPr="00792642">
        <w:t>25 Furniture and Fixtures removed</w:t>
      </w:r>
    </w:p>
    <w:p w14:paraId="77C8484B" w14:textId="01F8B1C0" w:rsidR="00A51A4C" w:rsidRPr="00792642" w:rsidRDefault="00615A6B" w:rsidP="00B950DF">
      <w:pPr>
        <w:pStyle w:val="ListParagraph"/>
        <w:numPr>
          <w:ilvl w:val="2"/>
          <w:numId w:val="1"/>
        </w:numPr>
      </w:pPr>
      <w:r>
        <w:t xml:space="preserve">SIC Code </w:t>
      </w:r>
      <w:r w:rsidR="00A51A4C" w:rsidRPr="00792642">
        <w:t>24 Lumber and wood products, except furniture removed</w:t>
      </w:r>
    </w:p>
    <w:p w14:paraId="598A4BD2" w14:textId="3CC7B717" w:rsidR="00A51A4C" w:rsidRPr="00792642" w:rsidRDefault="00615A6B" w:rsidP="00B950DF">
      <w:pPr>
        <w:pStyle w:val="ListParagraph"/>
        <w:numPr>
          <w:ilvl w:val="2"/>
          <w:numId w:val="1"/>
        </w:numPr>
      </w:pPr>
      <w:r>
        <w:t xml:space="preserve">SIC Code </w:t>
      </w:r>
      <w:r w:rsidR="00A51A4C" w:rsidRPr="00792642">
        <w:t>202 Dairy products removed</w:t>
      </w:r>
    </w:p>
    <w:p w14:paraId="298BAAC1" w14:textId="54C7CADE" w:rsidR="00A51A4C" w:rsidRPr="00792642" w:rsidRDefault="00615A6B" w:rsidP="00B950DF">
      <w:pPr>
        <w:pStyle w:val="ListParagraph"/>
        <w:numPr>
          <w:ilvl w:val="2"/>
          <w:numId w:val="1"/>
        </w:numPr>
      </w:pPr>
      <w:r>
        <w:t xml:space="preserve">SIC Code </w:t>
      </w:r>
      <w:r w:rsidR="00A51A4C" w:rsidRPr="00792642">
        <w:t>205 Bakery Products removed</w:t>
      </w:r>
    </w:p>
    <w:p w14:paraId="6E22846E" w14:textId="0FBE8B81" w:rsidR="00A51A4C" w:rsidRPr="00792642" w:rsidRDefault="00615A6B" w:rsidP="00B950DF">
      <w:pPr>
        <w:pStyle w:val="ListParagraph"/>
        <w:numPr>
          <w:ilvl w:val="2"/>
          <w:numId w:val="1"/>
        </w:numPr>
      </w:pPr>
      <w:r>
        <w:t xml:space="preserve">SIC Code </w:t>
      </w:r>
      <w:r w:rsidR="00A51A4C" w:rsidRPr="00792642">
        <w:t>2082-5 Alcoholic beverages removed</w:t>
      </w:r>
    </w:p>
    <w:p w14:paraId="3D3F5364" w14:textId="1BFA9A13" w:rsidR="00A51A4C" w:rsidRPr="00792642" w:rsidRDefault="00615A6B" w:rsidP="00B950DF">
      <w:pPr>
        <w:pStyle w:val="ListParagraph"/>
        <w:numPr>
          <w:ilvl w:val="2"/>
          <w:numId w:val="1"/>
        </w:numPr>
      </w:pPr>
      <w:r>
        <w:t xml:space="preserve">SIC Code </w:t>
      </w:r>
      <w:r w:rsidR="00A51A4C" w:rsidRPr="00792642">
        <w:t>23 apparel and other finished products removed</w:t>
      </w:r>
    </w:p>
    <w:p w14:paraId="416EFEAA" w14:textId="77F585F1" w:rsidR="00A51A4C" w:rsidRPr="00792642" w:rsidRDefault="00615A6B" w:rsidP="00B950DF">
      <w:pPr>
        <w:pStyle w:val="ListParagraph"/>
        <w:numPr>
          <w:ilvl w:val="2"/>
          <w:numId w:val="1"/>
        </w:numPr>
      </w:pPr>
      <w:r>
        <w:t xml:space="preserve">SIC Code </w:t>
      </w:r>
      <w:r w:rsidR="00A51A4C" w:rsidRPr="00792642">
        <w:t xml:space="preserve">291 Petroleum refining removed </w:t>
      </w:r>
    </w:p>
    <w:p w14:paraId="5A2CA9B5" w14:textId="77777777" w:rsidR="00A51A4C" w:rsidRPr="00792642" w:rsidRDefault="00A51A4C" w:rsidP="00B950DF">
      <w:pPr>
        <w:pStyle w:val="ListParagraph"/>
        <w:numPr>
          <w:ilvl w:val="2"/>
          <w:numId w:val="1"/>
        </w:numPr>
      </w:pPr>
      <w:r w:rsidRPr="00792642">
        <w:t>31 Leather and leather products removed</w:t>
      </w:r>
    </w:p>
    <w:p w14:paraId="7E775872" w14:textId="4F09A660" w:rsidR="00A51A4C" w:rsidRPr="00792642" w:rsidRDefault="00C575F3" w:rsidP="00B950DF">
      <w:pPr>
        <w:pStyle w:val="ListParagraph"/>
        <w:numPr>
          <w:ilvl w:val="2"/>
          <w:numId w:val="1"/>
        </w:numPr>
      </w:pPr>
      <w:r>
        <w:t xml:space="preserve">SIC Code </w:t>
      </w:r>
      <w:r w:rsidR="00A51A4C" w:rsidRPr="00792642">
        <w:t>98.1 Other Nondurable goods added</w:t>
      </w:r>
    </w:p>
    <w:p w14:paraId="4389097F" w14:textId="40408A6A" w:rsidR="00A51A4C" w:rsidRPr="00792642" w:rsidRDefault="00C575F3" w:rsidP="00B950DF">
      <w:pPr>
        <w:pStyle w:val="ListParagraph"/>
        <w:numPr>
          <w:ilvl w:val="2"/>
          <w:numId w:val="1"/>
        </w:numPr>
      </w:pPr>
      <w:r>
        <w:t xml:space="preserve">SIC Code </w:t>
      </w:r>
      <w:r w:rsidR="00A51A4C" w:rsidRPr="00792642">
        <w:t>99.1 Other Durable goods added</w:t>
      </w:r>
    </w:p>
    <w:p w14:paraId="7B3E1F2E" w14:textId="5CC3B8CC" w:rsidR="00A51A4C" w:rsidRPr="00792642" w:rsidRDefault="00C575F3" w:rsidP="00B950DF">
      <w:pPr>
        <w:pStyle w:val="ListParagraph"/>
        <w:numPr>
          <w:ilvl w:val="2"/>
          <w:numId w:val="1"/>
        </w:numPr>
      </w:pPr>
      <w:r>
        <w:t xml:space="preserve">SIC Code </w:t>
      </w:r>
      <w:r w:rsidR="00A51A4C" w:rsidRPr="00792642">
        <w:t xml:space="preserve">28.1 Industrial Chemicals and synthetics instead of </w:t>
      </w:r>
      <w:r>
        <w:t xml:space="preserve">SIC Code </w:t>
      </w:r>
      <w:r w:rsidR="00A51A4C" w:rsidRPr="00792642">
        <w:t>281 basic chemicals</w:t>
      </w:r>
    </w:p>
    <w:p w14:paraId="193F23F2" w14:textId="7A252BFE" w:rsidR="00A51A4C" w:rsidRPr="00792642" w:rsidRDefault="00C575F3" w:rsidP="00B950DF">
      <w:pPr>
        <w:pStyle w:val="ListParagraph"/>
        <w:numPr>
          <w:ilvl w:val="2"/>
          <w:numId w:val="1"/>
        </w:numPr>
      </w:pPr>
      <w:r>
        <w:t xml:space="preserve">SIC Code </w:t>
      </w:r>
      <w:r w:rsidR="00A51A4C" w:rsidRPr="00792642">
        <w:t xml:space="preserve">28.3 Drugs instead of </w:t>
      </w:r>
      <w:r w:rsidR="00D209C8">
        <w:t>SIC Code 283 D</w:t>
      </w:r>
      <w:r w:rsidR="00A51A4C" w:rsidRPr="00792642">
        <w:t>rugs</w:t>
      </w:r>
    </w:p>
    <w:p w14:paraId="2652B4B0" w14:textId="4CB1D1A0" w:rsidR="00A51A4C" w:rsidRPr="00792642" w:rsidRDefault="00C575F3" w:rsidP="00B950DF">
      <w:pPr>
        <w:pStyle w:val="ListParagraph"/>
        <w:numPr>
          <w:ilvl w:val="2"/>
          <w:numId w:val="1"/>
        </w:numPr>
      </w:pPr>
      <w:r>
        <w:t xml:space="preserve">SIC Code </w:t>
      </w:r>
      <w:r w:rsidR="00A51A4C" w:rsidRPr="00792642">
        <w:t xml:space="preserve">37.1 Motor vehicles and Equipment instead of </w:t>
      </w:r>
      <w:r>
        <w:t xml:space="preserve">SIC Code </w:t>
      </w:r>
      <w:r w:rsidR="00A51A4C" w:rsidRPr="00792642">
        <w:t>371</w:t>
      </w:r>
    </w:p>
    <w:p w14:paraId="3D7ECBB9" w14:textId="5CD0F93F" w:rsidR="00A51A4C" w:rsidRPr="001161AE" w:rsidRDefault="00A51A4C" w:rsidP="00A51A4C">
      <w:pPr>
        <w:pStyle w:val="ListParagraph"/>
        <w:numPr>
          <w:ilvl w:val="0"/>
          <w:numId w:val="1"/>
        </w:numPr>
        <w:rPr>
          <w:b/>
        </w:rPr>
      </w:pPr>
      <w:r>
        <w:lastRenderedPageBreak/>
        <w:t>1974Q4</w:t>
      </w:r>
    </w:p>
    <w:p w14:paraId="71623500" w14:textId="5B95437F" w:rsidR="00302779" w:rsidRPr="00302779" w:rsidRDefault="00302779" w:rsidP="00A51A4C">
      <w:pPr>
        <w:pStyle w:val="ListParagraph"/>
        <w:numPr>
          <w:ilvl w:val="1"/>
          <w:numId w:val="1"/>
        </w:numPr>
        <w:rPr>
          <w:b/>
        </w:rPr>
      </w:pPr>
      <w:r>
        <w:t>In 1974Q4 QFR began cov</w:t>
      </w:r>
      <w:r w:rsidR="00792642">
        <w:t>er</w:t>
      </w:r>
      <w:r>
        <w:t xml:space="preserve">ing Mining, Wholesale Trade, and Retail Trade. </w:t>
      </w:r>
    </w:p>
    <w:p w14:paraId="744EF25D" w14:textId="57F6C352" w:rsidR="00A51A4C" w:rsidRPr="00715153" w:rsidRDefault="00A51A4C" w:rsidP="00A51A4C">
      <w:pPr>
        <w:pStyle w:val="ListParagraph"/>
        <w:numPr>
          <w:ilvl w:val="0"/>
          <w:numId w:val="1"/>
        </w:numPr>
        <w:rPr>
          <w:b/>
        </w:rPr>
      </w:pPr>
      <w:r>
        <w:t>1977Q3</w:t>
      </w:r>
    </w:p>
    <w:p w14:paraId="64E4CEE5" w14:textId="62258656" w:rsidR="00302779" w:rsidRPr="00302779" w:rsidRDefault="00302779" w:rsidP="00A51A4C">
      <w:pPr>
        <w:pStyle w:val="ListParagraph"/>
        <w:numPr>
          <w:ilvl w:val="1"/>
          <w:numId w:val="1"/>
        </w:numPr>
        <w:rPr>
          <w:b/>
        </w:rPr>
      </w:pPr>
      <w:r>
        <w:t>QFR stopped sampling manufacturing companies with assets below $250,000. That strata is now estimated using “</w:t>
      </w:r>
      <w:proofErr w:type="spellStart"/>
      <w:r>
        <w:t>Multivariant</w:t>
      </w:r>
      <w:proofErr w:type="spellEnd"/>
      <w:r>
        <w:t xml:space="preserve"> Techniques.” </w:t>
      </w:r>
    </w:p>
    <w:p w14:paraId="1D6061F8" w14:textId="39690C8A" w:rsidR="00A51A4C" w:rsidRPr="00302779" w:rsidRDefault="00A51A4C" w:rsidP="00A51A4C">
      <w:pPr>
        <w:pStyle w:val="ListParagraph"/>
        <w:numPr>
          <w:ilvl w:val="1"/>
          <w:numId w:val="1"/>
        </w:numPr>
        <w:rPr>
          <w:b/>
        </w:rPr>
      </w:pPr>
      <w:r w:rsidRPr="00302779">
        <w:t>Stop</w:t>
      </w:r>
      <w:r w:rsidR="00302779" w:rsidRPr="00302779">
        <w:t>ped</w:t>
      </w:r>
      <w:r w:rsidRPr="00302779">
        <w:t xml:space="preserve"> publishing</w:t>
      </w:r>
      <w:r w:rsidR="00302779" w:rsidRPr="00302779">
        <w:t xml:space="preserve"> the</w:t>
      </w:r>
      <w:r w:rsidRPr="00302779">
        <w:t xml:space="preserve"> “</w:t>
      </w:r>
      <w:r w:rsidR="00302779" w:rsidRPr="00302779">
        <w:t>U</w:t>
      </w:r>
      <w:r w:rsidRPr="00302779">
        <w:t>nder $1 Million” breakout for manufacturing companies</w:t>
      </w:r>
      <w:r w:rsidR="00302779">
        <w:t xml:space="preserve">. </w:t>
      </w:r>
    </w:p>
    <w:p w14:paraId="063673D5" w14:textId="65DEABA7" w:rsidR="00302779" w:rsidRPr="001F5EE0" w:rsidRDefault="00302779" w:rsidP="00302779">
      <w:pPr>
        <w:pStyle w:val="Heading2"/>
        <w:rPr>
          <w:sz w:val="24"/>
          <w:szCs w:val="24"/>
        </w:rPr>
      </w:pPr>
      <w:r w:rsidRPr="001F5EE0">
        <w:rPr>
          <w:sz w:val="24"/>
          <w:szCs w:val="24"/>
        </w:rPr>
        <w:t>1980’s</w:t>
      </w:r>
    </w:p>
    <w:p w14:paraId="138E99BF" w14:textId="30B00E09" w:rsidR="00302779" w:rsidRDefault="00302779" w:rsidP="00302779">
      <w:pPr>
        <w:pStyle w:val="ListParagraph"/>
        <w:numPr>
          <w:ilvl w:val="0"/>
          <w:numId w:val="3"/>
        </w:numPr>
      </w:pPr>
      <w:r>
        <w:t>1981Q4</w:t>
      </w:r>
    </w:p>
    <w:p w14:paraId="60ACF709" w14:textId="760C492E" w:rsidR="00302779" w:rsidRPr="00A20A86" w:rsidRDefault="00302779" w:rsidP="00302779">
      <w:pPr>
        <w:pStyle w:val="ListParagraph"/>
        <w:numPr>
          <w:ilvl w:val="1"/>
          <w:numId w:val="3"/>
        </w:numPr>
      </w:pPr>
      <w:r w:rsidRPr="00A20A86">
        <w:t>Expanded</w:t>
      </w:r>
      <w:r w:rsidR="00BB2194">
        <w:t xml:space="preserve"> coverage of </w:t>
      </w:r>
      <w:r w:rsidRPr="00A20A86">
        <w:t>All Retail Trade to General Merchandise Stores</w:t>
      </w:r>
      <w:r w:rsidR="00C575F3">
        <w:t>,</w:t>
      </w:r>
      <w:r w:rsidRPr="00A20A86">
        <w:t xml:space="preserve"> </w:t>
      </w:r>
      <w:r w:rsidR="00C575F3">
        <w:t>SIC C</w:t>
      </w:r>
      <w:r w:rsidR="00792642">
        <w:t xml:space="preserve">ode </w:t>
      </w:r>
      <w:r w:rsidRPr="00A20A86">
        <w:t>53</w:t>
      </w:r>
      <w:r w:rsidR="00C575F3">
        <w:t>,</w:t>
      </w:r>
      <w:r w:rsidRPr="00A20A86">
        <w:t xml:space="preserve"> and Retail Food Stores</w:t>
      </w:r>
      <w:r w:rsidR="00C575F3">
        <w:t>, SIC Code</w:t>
      </w:r>
      <w:r w:rsidRPr="00A20A86">
        <w:t xml:space="preserve"> 54</w:t>
      </w:r>
      <w:r w:rsidR="00C575F3">
        <w:t>,</w:t>
      </w:r>
      <w:r w:rsidRPr="00A20A86">
        <w:t xml:space="preserve"> and All Other Retail Trade</w:t>
      </w:r>
      <w:r w:rsidR="00C575F3">
        <w:t>, SIC Code</w:t>
      </w:r>
      <w:r w:rsidRPr="00A20A86">
        <w:t xml:space="preserve"> 55-59</w:t>
      </w:r>
      <w:r w:rsidR="00C575F3">
        <w:t xml:space="preserve">. </w:t>
      </w:r>
    </w:p>
    <w:p w14:paraId="668DF0C4" w14:textId="7BB36B66" w:rsidR="00302779" w:rsidRPr="00A20A86" w:rsidRDefault="00302779" w:rsidP="00302779">
      <w:pPr>
        <w:pStyle w:val="ListParagraph"/>
        <w:numPr>
          <w:ilvl w:val="1"/>
          <w:numId w:val="3"/>
        </w:numPr>
      </w:pPr>
      <w:r w:rsidRPr="00A20A86">
        <w:t>Expanded All Wholesale Trade to</w:t>
      </w:r>
      <w:r w:rsidR="00C575F3">
        <w:t xml:space="preserve"> Wholesale Trade, Durable Goods, SIC Code </w:t>
      </w:r>
      <w:r w:rsidRPr="00A20A86">
        <w:t>50</w:t>
      </w:r>
      <w:r w:rsidR="00C575F3">
        <w:t>,</w:t>
      </w:r>
      <w:r w:rsidRPr="00A20A86">
        <w:t xml:space="preserve"> and Nondurable Goods</w:t>
      </w:r>
      <w:r w:rsidR="00C575F3">
        <w:t>, SIC Code</w:t>
      </w:r>
      <w:r w:rsidRPr="00A20A86">
        <w:t xml:space="preserve"> 51</w:t>
      </w:r>
      <w:r w:rsidR="00C575F3">
        <w:t>.</w:t>
      </w:r>
    </w:p>
    <w:p w14:paraId="6E5A854A" w14:textId="2434F12C" w:rsidR="00302779" w:rsidRDefault="00302779" w:rsidP="00302779">
      <w:pPr>
        <w:pStyle w:val="ListParagraph"/>
        <w:numPr>
          <w:ilvl w:val="1"/>
          <w:numId w:val="3"/>
        </w:numPr>
      </w:pPr>
      <w:r>
        <w:t>Certainty asset total increased from $10 Million to $25 Million</w:t>
      </w:r>
      <w:r w:rsidR="00B9554B">
        <w:t xml:space="preserve">. </w:t>
      </w:r>
    </w:p>
    <w:p w14:paraId="21B84BEA" w14:textId="0C5EEC39" w:rsidR="00302779" w:rsidRPr="00C71525" w:rsidRDefault="00302779" w:rsidP="00302779">
      <w:pPr>
        <w:pStyle w:val="ListParagraph"/>
        <w:numPr>
          <w:ilvl w:val="1"/>
          <w:numId w:val="3"/>
        </w:numPr>
      </w:pPr>
      <w:r w:rsidRPr="00C71525">
        <w:t>Broke out data by assets size for individual manufacturing industries</w:t>
      </w:r>
      <w:r w:rsidR="00C71525" w:rsidRPr="00C71525">
        <w:t xml:space="preserve"> for under and over $25 Million assets</w:t>
      </w:r>
      <w:r w:rsidRPr="00C71525">
        <w:t xml:space="preserve">, revised back to 1980Q4. </w:t>
      </w:r>
    </w:p>
    <w:p w14:paraId="3645165E" w14:textId="46F42B20" w:rsidR="00302779" w:rsidRDefault="00302779" w:rsidP="00302779">
      <w:pPr>
        <w:pStyle w:val="ListParagraph"/>
        <w:numPr>
          <w:ilvl w:val="1"/>
          <w:numId w:val="3"/>
        </w:numPr>
      </w:pPr>
      <w:r>
        <w:t xml:space="preserve">Added historic rates of return tables for </w:t>
      </w:r>
      <w:r w:rsidR="00B16908">
        <w:t xml:space="preserve">Mining, </w:t>
      </w:r>
      <w:r>
        <w:t>Wholesale</w:t>
      </w:r>
      <w:r w:rsidR="00B16908">
        <w:t xml:space="preserve"> Trade, and Retail Trade. </w:t>
      </w:r>
    </w:p>
    <w:p w14:paraId="68C11B39" w14:textId="2E885548" w:rsidR="00302779" w:rsidRDefault="00302779" w:rsidP="00302779">
      <w:pPr>
        <w:pStyle w:val="ListParagraph"/>
        <w:numPr>
          <w:ilvl w:val="0"/>
          <w:numId w:val="3"/>
        </w:numPr>
      </w:pPr>
      <w:r>
        <w:t>1985Q1</w:t>
      </w:r>
    </w:p>
    <w:p w14:paraId="171AF334" w14:textId="07CEC8CB" w:rsidR="00302779" w:rsidRDefault="00302779" w:rsidP="00842980">
      <w:pPr>
        <w:pStyle w:val="ListParagraph"/>
        <w:numPr>
          <w:ilvl w:val="1"/>
          <w:numId w:val="3"/>
        </w:numPr>
      </w:pPr>
      <w:r w:rsidRPr="00AA4850">
        <w:t>Collapsed Tobacco Manufacturing</w:t>
      </w:r>
      <w:r w:rsidR="00C575F3">
        <w:t>, SIC C</w:t>
      </w:r>
      <w:r w:rsidR="00AA4850">
        <w:t>ode</w:t>
      </w:r>
      <w:r w:rsidRPr="00AA4850">
        <w:t xml:space="preserve"> 21</w:t>
      </w:r>
      <w:r w:rsidR="00C575F3">
        <w:t>,</w:t>
      </w:r>
      <w:r w:rsidRPr="00AA4850">
        <w:t xml:space="preserve"> into Food and Kindred products</w:t>
      </w:r>
      <w:r w:rsidR="00C575F3">
        <w:t>, SIC Code</w:t>
      </w:r>
      <w:r w:rsidRPr="00AA4850">
        <w:t xml:space="preserve"> 20</w:t>
      </w:r>
      <w:r w:rsidR="00B16908">
        <w:t xml:space="preserve">. </w:t>
      </w:r>
      <w:r>
        <w:t xml:space="preserve">Multiple major mergers in the tobacco industry necessitated this change. </w:t>
      </w:r>
    </w:p>
    <w:p w14:paraId="6D6C0A64" w14:textId="3A530D43" w:rsidR="00302779" w:rsidRPr="00E52074" w:rsidRDefault="00302779" w:rsidP="00302779">
      <w:pPr>
        <w:pStyle w:val="ListParagraph"/>
        <w:numPr>
          <w:ilvl w:val="0"/>
          <w:numId w:val="3"/>
        </w:numPr>
      </w:pPr>
      <w:r w:rsidRPr="00E52074">
        <w:t>1987Q1</w:t>
      </w:r>
    </w:p>
    <w:p w14:paraId="64D793F7" w14:textId="67B85A28" w:rsidR="00302779" w:rsidRPr="00E52074" w:rsidRDefault="00302779" w:rsidP="00302779">
      <w:pPr>
        <w:pStyle w:val="ListParagraph"/>
        <w:numPr>
          <w:ilvl w:val="1"/>
          <w:numId w:val="3"/>
        </w:numPr>
      </w:pPr>
      <w:r w:rsidRPr="00E52074">
        <w:t xml:space="preserve">Companies with assets below </w:t>
      </w:r>
      <w:r w:rsidR="002F69A6">
        <w:t>$</w:t>
      </w:r>
      <w:r w:rsidRPr="00E52074">
        <w:t>250,000 are now excluded entirely</w:t>
      </w:r>
      <w:r>
        <w:t xml:space="preserve"> and not estimated for. </w:t>
      </w:r>
      <w:r w:rsidRPr="00E52074">
        <w:t xml:space="preserve"> </w:t>
      </w:r>
    </w:p>
    <w:p w14:paraId="57DA3B72" w14:textId="1F3097B6" w:rsidR="00302779" w:rsidRDefault="00302779" w:rsidP="00302779">
      <w:pPr>
        <w:pStyle w:val="ListParagraph"/>
        <w:numPr>
          <w:ilvl w:val="0"/>
          <w:numId w:val="3"/>
        </w:numPr>
      </w:pPr>
      <w:r>
        <w:t>1988Q</w:t>
      </w:r>
      <w:r w:rsidRPr="00DB73AB">
        <w:t>4</w:t>
      </w:r>
    </w:p>
    <w:p w14:paraId="6A27751B" w14:textId="507837CC" w:rsidR="00302779" w:rsidRPr="00DB73AB" w:rsidRDefault="00302779" w:rsidP="00302779">
      <w:pPr>
        <w:pStyle w:val="ListParagraph"/>
        <w:numPr>
          <w:ilvl w:val="1"/>
          <w:numId w:val="3"/>
        </w:numPr>
      </w:pPr>
      <w:r>
        <w:t xml:space="preserve">Certainty </w:t>
      </w:r>
      <w:r w:rsidR="00795530">
        <w:t>asset total increased from $25 m</w:t>
      </w:r>
      <w:r>
        <w:t xml:space="preserve">illion to $50 </w:t>
      </w:r>
      <w:r w:rsidR="00795530">
        <w:t>m</w:t>
      </w:r>
      <w:r>
        <w:t>illion</w:t>
      </w:r>
      <w:r w:rsidR="00BB2194">
        <w:t>.</w:t>
      </w:r>
    </w:p>
    <w:p w14:paraId="6E004700" w14:textId="64C465DA" w:rsidR="002F69A6" w:rsidRPr="001F5EE0" w:rsidRDefault="002F69A6" w:rsidP="002F69A6">
      <w:pPr>
        <w:pStyle w:val="Heading2"/>
        <w:rPr>
          <w:sz w:val="24"/>
          <w:szCs w:val="24"/>
        </w:rPr>
      </w:pPr>
      <w:r w:rsidRPr="001F5EE0">
        <w:rPr>
          <w:sz w:val="24"/>
          <w:szCs w:val="24"/>
        </w:rPr>
        <w:t>1990’s</w:t>
      </w:r>
    </w:p>
    <w:p w14:paraId="5618E83D" w14:textId="2638E8D3" w:rsidR="002F69A6" w:rsidRDefault="002F69A6" w:rsidP="002F69A6">
      <w:pPr>
        <w:pStyle w:val="ListParagraph"/>
        <w:numPr>
          <w:ilvl w:val="0"/>
          <w:numId w:val="4"/>
        </w:numPr>
      </w:pPr>
      <w:r>
        <w:t>1992Q1</w:t>
      </w:r>
    </w:p>
    <w:p w14:paraId="14923D9C" w14:textId="33D3F813" w:rsidR="002F69A6" w:rsidRPr="00AA4850" w:rsidRDefault="002F69A6" w:rsidP="002F69A6">
      <w:pPr>
        <w:pStyle w:val="ListParagraph"/>
        <w:numPr>
          <w:ilvl w:val="1"/>
          <w:numId w:val="4"/>
        </w:numPr>
      </w:pPr>
      <w:r w:rsidRPr="00AA4850">
        <w:t>Reintroduced Lumber and Wood Products</w:t>
      </w:r>
      <w:r w:rsidR="00C575F3">
        <w:t>, SIC Code</w:t>
      </w:r>
      <w:r w:rsidRPr="00AA4850">
        <w:t xml:space="preserve"> 24</w:t>
      </w:r>
      <w:r w:rsidR="00C575F3">
        <w:t>.</w:t>
      </w:r>
    </w:p>
    <w:p w14:paraId="49524E28" w14:textId="41617F49" w:rsidR="002F69A6" w:rsidRPr="00AA4850" w:rsidRDefault="002F69A6" w:rsidP="002F69A6">
      <w:pPr>
        <w:pStyle w:val="ListParagraph"/>
        <w:numPr>
          <w:ilvl w:val="1"/>
          <w:numId w:val="4"/>
        </w:numPr>
      </w:pPr>
      <w:r w:rsidRPr="00AA4850">
        <w:t>Reintroduced Furniture and Fixtures</w:t>
      </w:r>
      <w:r w:rsidR="00C575F3">
        <w:t>, SIC Code</w:t>
      </w:r>
      <w:r w:rsidRPr="00AA4850">
        <w:t xml:space="preserve"> 25</w:t>
      </w:r>
      <w:r w:rsidR="00C575F3">
        <w:t>.</w:t>
      </w:r>
    </w:p>
    <w:p w14:paraId="758D2F1E" w14:textId="519C136E" w:rsidR="002F69A6" w:rsidRPr="00AA4850" w:rsidRDefault="002F69A6" w:rsidP="002F69A6">
      <w:pPr>
        <w:pStyle w:val="ListParagraph"/>
        <w:numPr>
          <w:ilvl w:val="1"/>
          <w:numId w:val="4"/>
        </w:numPr>
      </w:pPr>
      <w:r w:rsidRPr="00AA4850">
        <w:t>Added Residual of Chemicals</w:t>
      </w:r>
      <w:r w:rsidR="00C575F3">
        <w:t>, SIC Code</w:t>
      </w:r>
      <w:r w:rsidRPr="00AA4850">
        <w:t xml:space="preserve"> 28.4</w:t>
      </w:r>
      <w:r w:rsidR="00C575F3">
        <w:t>.</w:t>
      </w:r>
    </w:p>
    <w:p w14:paraId="445582E4" w14:textId="5DAD130D" w:rsidR="002F69A6" w:rsidRPr="00AA4850" w:rsidRDefault="002F69A6" w:rsidP="002F69A6">
      <w:pPr>
        <w:pStyle w:val="ListParagraph"/>
        <w:numPr>
          <w:ilvl w:val="1"/>
          <w:numId w:val="4"/>
        </w:numPr>
      </w:pPr>
      <w:r w:rsidRPr="00AA4850">
        <w:t>Reintroduced Misc. Manufacturing</w:t>
      </w:r>
      <w:r w:rsidR="00C575F3">
        <w:t>, SIC Code</w:t>
      </w:r>
      <w:r w:rsidRPr="00AA4850">
        <w:t xml:space="preserve"> 39</w:t>
      </w:r>
      <w:r w:rsidR="00C575F3">
        <w:t>.</w:t>
      </w:r>
    </w:p>
    <w:p w14:paraId="1F8B3B5F" w14:textId="02F2F95D" w:rsidR="002F69A6" w:rsidRPr="00AA4850" w:rsidRDefault="002F69A6" w:rsidP="002F69A6">
      <w:pPr>
        <w:pStyle w:val="ListParagraph"/>
        <w:numPr>
          <w:ilvl w:val="1"/>
          <w:numId w:val="4"/>
        </w:numPr>
      </w:pPr>
      <w:r w:rsidRPr="00AA4850">
        <w:t>Renamed Other Nondurable Manufacturing Industries</w:t>
      </w:r>
      <w:r w:rsidR="00C575F3">
        <w:t>, SIC Code</w:t>
      </w:r>
      <w:r w:rsidRPr="00AA4850">
        <w:t xml:space="preserve"> 98.1</w:t>
      </w:r>
      <w:r w:rsidR="00C575F3">
        <w:t>,</w:t>
      </w:r>
      <w:r w:rsidRPr="00AA4850">
        <w:t xml:space="preserve"> as Apparel</w:t>
      </w:r>
    </w:p>
    <w:p w14:paraId="3A871D8F" w14:textId="7A4244FE" w:rsidR="002F69A6" w:rsidRDefault="002F69A6" w:rsidP="002F69A6">
      <w:pPr>
        <w:pStyle w:val="ListParagraph"/>
        <w:numPr>
          <w:ilvl w:val="0"/>
          <w:numId w:val="6"/>
        </w:numPr>
      </w:pPr>
      <w:r w:rsidRPr="004B60BB">
        <w:t>1995Q4</w:t>
      </w:r>
    </w:p>
    <w:p w14:paraId="6C85CAA4" w14:textId="3B9250AB" w:rsidR="002F69A6" w:rsidRPr="004B60BB" w:rsidRDefault="002F69A6" w:rsidP="002F69A6">
      <w:pPr>
        <w:pStyle w:val="ListParagraph"/>
        <w:numPr>
          <w:ilvl w:val="1"/>
          <w:numId w:val="6"/>
        </w:numPr>
      </w:pPr>
      <w:r>
        <w:t xml:space="preserve">Certainty asset total increased from $50 </w:t>
      </w:r>
      <w:r w:rsidR="00795530">
        <w:t>m</w:t>
      </w:r>
      <w:r>
        <w:t xml:space="preserve">illion to $250 </w:t>
      </w:r>
      <w:r w:rsidR="00795530">
        <w:t>m</w:t>
      </w:r>
      <w:r>
        <w:t xml:space="preserve">illion. </w:t>
      </w:r>
    </w:p>
    <w:p w14:paraId="6A6E61B7" w14:textId="6F41B8D1" w:rsidR="002F69A6" w:rsidRPr="001F5EE0" w:rsidRDefault="002F69A6" w:rsidP="002F69A6">
      <w:pPr>
        <w:pStyle w:val="Heading2"/>
        <w:rPr>
          <w:sz w:val="24"/>
          <w:szCs w:val="24"/>
        </w:rPr>
      </w:pPr>
      <w:r w:rsidRPr="001F5EE0">
        <w:rPr>
          <w:sz w:val="24"/>
          <w:szCs w:val="24"/>
        </w:rPr>
        <w:t>2000’s</w:t>
      </w:r>
    </w:p>
    <w:p w14:paraId="068D0A3C" w14:textId="5B5DBE7B" w:rsidR="002F69A6" w:rsidRPr="002C7904" w:rsidRDefault="002F69A6" w:rsidP="002F69A6">
      <w:pPr>
        <w:pStyle w:val="ListParagraph"/>
        <w:numPr>
          <w:ilvl w:val="0"/>
          <w:numId w:val="5"/>
        </w:numPr>
        <w:rPr>
          <w:b/>
        </w:rPr>
      </w:pPr>
      <w:r>
        <w:t>2001Q4</w:t>
      </w:r>
    </w:p>
    <w:p w14:paraId="6BCE5345" w14:textId="4F89AB48" w:rsidR="002F69A6" w:rsidRPr="002C7904" w:rsidRDefault="002F69A6" w:rsidP="002F69A6">
      <w:pPr>
        <w:pStyle w:val="ListParagraph"/>
        <w:numPr>
          <w:ilvl w:val="1"/>
          <w:numId w:val="5"/>
        </w:numPr>
        <w:rPr>
          <w:b/>
        </w:rPr>
      </w:pPr>
      <w:r>
        <w:t xml:space="preserve">Converted from SIC to NAICS format. 2000Q4 to 2001Q4 was restated in NAICS. </w:t>
      </w:r>
    </w:p>
    <w:p w14:paraId="1A5D79A8" w14:textId="77777777" w:rsidR="005D6696" w:rsidRPr="005D6696" w:rsidRDefault="005D6696" w:rsidP="005D6696">
      <w:pPr>
        <w:pStyle w:val="ListParagraph"/>
        <w:rPr>
          <w:b/>
        </w:rPr>
      </w:pPr>
    </w:p>
    <w:p w14:paraId="7749F83D" w14:textId="08D78B77" w:rsidR="005D6696" w:rsidRPr="001F5EE0" w:rsidRDefault="005D6696" w:rsidP="005D6696">
      <w:pPr>
        <w:pStyle w:val="Heading2"/>
        <w:rPr>
          <w:sz w:val="24"/>
          <w:szCs w:val="24"/>
        </w:rPr>
      </w:pPr>
      <w:r w:rsidRPr="001F5EE0">
        <w:rPr>
          <w:sz w:val="24"/>
          <w:szCs w:val="24"/>
        </w:rPr>
        <w:t>20</w:t>
      </w:r>
      <w:r>
        <w:rPr>
          <w:sz w:val="24"/>
          <w:szCs w:val="24"/>
        </w:rPr>
        <w:t>1</w:t>
      </w:r>
      <w:r w:rsidRPr="001F5EE0">
        <w:rPr>
          <w:sz w:val="24"/>
          <w:szCs w:val="24"/>
        </w:rPr>
        <w:t>0’s</w:t>
      </w:r>
    </w:p>
    <w:p w14:paraId="762583EC" w14:textId="0F10F26F" w:rsidR="002F69A6" w:rsidRPr="00DD4510" w:rsidRDefault="002F69A6" w:rsidP="002F69A6">
      <w:pPr>
        <w:pStyle w:val="ListParagraph"/>
        <w:numPr>
          <w:ilvl w:val="0"/>
          <w:numId w:val="5"/>
        </w:numPr>
        <w:rPr>
          <w:b/>
        </w:rPr>
      </w:pPr>
      <w:r>
        <w:t xml:space="preserve">2010Q4 </w:t>
      </w:r>
    </w:p>
    <w:p w14:paraId="1842E7D4" w14:textId="434A12F3" w:rsidR="002F69A6" w:rsidRPr="00881BEE" w:rsidRDefault="002F69A6" w:rsidP="002F69A6">
      <w:pPr>
        <w:pStyle w:val="ListParagraph"/>
        <w:numPr>
          <w:ilvl w:val="1"/>
          <w:numId w:val="5"/>
        </w:numPr>
        <w:rPr>
          <w:b/>
        </w:rPr>
      </w:pPr>
      <w:r>
        <w:rPr>
          <w:lang w:val="en"/>
        </w:rPr>
        <w:t>QFR expanded to include Selected Service Industries</w:t>
      </w:r>
      <w:r w:rsidR="00C575F3">
        <w:rPr>
          <w:lang w:val="en"/>
        </w:rPr>
        <w:t>, NAICS</w:t>
      </w:r>
      <w:r>
        <w:rPr>
          <w:lang w:val="en"/>
        </w:rPr>
        <w:t xml:space="preserve"> 511-512, 515, 517-519, 541 (except 5411 Legal Services). </w:t>
      </w:r>
    </w:p>
    <w:p w14:paraId="0BC5D636" w14:textId="62571C6B" w:rsidR="0013681E" w:rsidRPr="00881BEE" w:rsidRDefault="0013681E" w:rsidP="00A216C6">
      <w:pPr>
        <w:pStyle w:val="ListParagraph"/>
        <w:numPr>
          <w:ilvl w:val="1"/>
          <w:numId w:val="5"/>
        </w:numPr>
      </w:pPr>
      <w:r w:rsidRPr="00881BEE">
        <w:t>QFR improved treatment of nonresponse</w:t>
      </w:r>
      <w:r w:rsidR="00A216C6" w:rsidRPr="00A216C6">
        <w:t xml:space="preserve"> using statistical procedures that utilize previously reported data (if available) and data from current respondents of similar asset size and industry classification.</w:t>
      </w:r>
    </w:p>
    <w:p w14:paraId="1BF872D6" w14:textId="73AC049C" w:rsidR="00A216C6" w:rsidRPr="00881BEE" w:rsidRDefault="0013681E" w:rsidP="00A216C6">
      <w:pPr>
        <w:pStyle w:val="ListParagraph"/>
        <w:numPr>
          <w:ilvl w:val="1"/>
          <w:numId w:val="5"/>
        </w:numPr>
      </w:pPr>
      <w:r w:rsidRPr="00881BEE">
        <w:t>QFR restated estimates for 2009Q4 to 2010Q</w:t>
      </w:r>
      <w:r w:rsidR="00A216C6">
        <w:t>3</w:t>
      </w:r>
      <w:r w:rsidRPr="00881BEE">
        <w:t xml:space="preserve"> utilizing the improved treatment of nonresponse and also to include the expansion industries.</w:t>
      </w:r>
    </w:p>
    <w:p w14:paraId="2A46AB85" w14:textId="1CD74556" w:rsidR="00A216C6" w:rsidRPr="00881BEE" w:rsidRDefault="00A216C6" w:rsidP="002F69A6">
      <w:pPr>
        <w:pStyle w:val="ListParagraph"/>
        <w:numPr>
          <w:ilvl w:val="0"/>
          <w:numId w:val="5"/>
        </w:numPr>
      </w:pPr>
      <w:r w:rsidRPr="00881BEE">
        <w:t>2012Q2</w:t>
      </w:r>
    </w:p>
    <w:p w14:paraId="098BC83E" w14:textId="5C6B34AD" w:rsidR="00A216C6" w:rsidRDefault="00A216C6" w:rsidP="00881BEE">
      <w:pPr>
        <w:pStyle w:val="ListParagraph"/>
        <w:numPr>
          <w:ilvl w:val="1"/>
          <w:numId w:val="5"/>
        </w:numPr>
      </w:pPr>
      <w:r w:rsidRPr="00881BEE">
        <w:t xml:space="preserve">Seasonally Adjusted Retail Sales </w:t>
      </w:r>
      <w:r>
        <w:t xml:space="preserve">published </w:t>
      </w:r>
      <w:r w:rsidRPr="00A216C6">
        <w:t>for the first time</w:t>
      </w:r>
      <w:r>
        <w:t>.</w:t>
      </w:r>
    </w:p>
    <w:p w14:paraId="134BF432" w14:textId="08ECDB90" w:rsidR="00A216C6" w:rsidRPr="00881BEE" w:rsidRDefault="00A216C6" w:rsidP="002F69A6">
      <w:pPr>
        <w:pStyle w:val="ListParagraph"/>
        <w:numPr>
          <w:ilvl w:val="0"/>
          <w:numId w:val="5"/>
        </w:numPr>
      </w:pPr>
      <w:r w:rsidRPr="00881BEE">
        <w:t>2015Q3</w:t>
      </w:r>
      <w:r w:rsidRPr="00881BEE">
        <w:tab/>
      </w:r>
    </w:p>
    <w:p w14:paraId="01AFCFD3" w14:textId="6FFE7AEE" w:rsidR="00A216C6" w:rsidRPr="00A216C6" w:rsidRDefault="00A216C6" w:rsidP="00881BEE">
      <w:pPr>
        <w:pStyle w:val="ListParagraph"/>
        <w:numPr>
          <w:ilvl w:val="1"/>
          <w:numId w:val="5"/>
        </w:numPr>
      </w:pPr>
      <w:bookmarkStart w:id="0" w:name="_GoBack"/>
      <w:r w:rsidRPr="00881BEE">
        <w:t xml:space="preserve">Seasonally Adjusted Retail Net Income </w:t>
      </w:r>
      <w:proofErr w:type="gramStart"/>
      <w:r w:rsidRPr="00881BEE">
        <w:t>After</w:t>
      </w:r>
      <w:proofErr w:type="gramEnd"/>
      <w:r w:rsidRPr="00881BEE">
        <w:t xml:space="preserve"> Taxes published for the first time.</w:t>
      </w:r>
    </w:p>
    <w:bookmarkEnd w:id="0"/>
    <w:p w14:paraId="6D979D0F" w14:textId="5838BA32" w:rsidR="002F69A6" w:rsidRPr="00824A4E" w:rsidRDefault="002F69A6" w:rsidP="002F69A6">
      <w:pPr>
        <w:pStyle w:val="ListParagraph"/>
        <w:numPr>
          <w:ilvl w:val="0"/>
          <w:numId w:val="5"/>
        </w:numPr>
        <w:rPr>
          <w:b/>
        </w:rPr>
      </w:pPr>
      <w:r>
        <w:t>2016Q1</w:t>
      </w:r>
    </w:p>
    <w:p w14:paraId="6C713A90" w14:textId="500E1917" w:rsidR="002F69A6" w:rsidRPr="005D6696" w:rsidRDefault="002F69A6" w:rsidP="002F69A6">
      <w:pPr>
        <w:pStyle w:val="ListParagraph"/>
        <w:numPr>
          <w:ilvl w:val="1"/>
          <w:numId w:val="5"/>
        </w:numPr>
        <w:rPr>
          <w:b/>
        </w:rPr>
      </w:pPr>
      <w:r>
        <w:t>Began releasing Retail one week earlier</w:t>
      </w:r>
      <w:r w:rsidR="00F4403D">
        <w:t>. Retail is now released at the same time as</w:t>
      </w:r>
      <w:r>
        <w:t xml:space="preserve"> Manufacturing, Mining, Wholesale, an</w:t>
      </w:r>
      <w:r w:rsidR="00F4403D">
        <w:t xml:space="preserve">d Selected Services Data. </w:t>
      </w:r>
    </w:p>
    <w:p w14:paraId="47E55E6C" w14:textId="27086A23" w:rsidR="005D6696" w:rsidRPr="005D6696" w:rsidRDefault="005D6696" w:rsidP="005D6696">
      <w:pPr>
        <w:pStyle w:val="ListParagraph"/>
        <w:numPr>
          <w:ilvl w:val="0"/>
          <w:numId w:val="5"/>
        </w:numPr>
        <w:rPr>
          <w:b/>
        </w:rPr>
      </w:pPr>
      <w:r>
        <w:t>2019Q2</w:t>
      </w:r>
    </w:p>
    <w:p w14:paraId="08DC7EC2" w14:textId="1BC1F28D" w:rsidR="005D6696" w:rsidRPr="00824A4E" w:rsidRDefault="005D6696" w:rsidP="005D6696">
      <w:pPr>
        <w:pStyle w:val="ListParagraph"/>
        <w:numPr>
          <w:ilvl w:val="1"/>
          <w:numId w:val="5"/>
        </w:numPr>
        <w:rPr>
          <w:b/>
        </w:rPr>
      </w:pPr>
      <w:r>
        <w:t xml:space="preserve">QFR released historical data electronically back to 1947. Previously historical data was only available electronically back to 1987. </w:t>
      </w:r>
    </w:p>
    <w:p w14:paraId="748E3F0B" w14:textId="101579EB" w:rsidR="00A51A4C" w:rsidRDefault="00A51A4C" w:rsidP="00F405D5">
      <w:pPr>
        <w:pStyle w:val="NoSpacing"/>
      </w:pPr>
    </w:p>
    <w:p w14:paraId="22F2D5A9" w14:textId="77777777" w:rsidR="00A51A4C" w:rsidRDefault="00A51A4C" w:rsidP="00F405D5">
      <w:pPr>
        <w:pStyle w:val="NoSpacing"/>
      </w:pPr>
    </w:p>
    <w:p w14:paraId="0A3F2241" w14:textId="77777777" w:rsidR="00F405D5" w:rsidRDefault="00F405D5" w:rsidP="00F405D5">
      <w:pPr>
        <w:pStyle w:val="NoSpacing"/>
      </w:pPr>
    </w:p>
    <w:p w14:paraId="3311D2F5" w14:textId="77777777" w:rsidR="003D1E73" w:rsidRDefault="003D1E73" w:rsidP="00E767B1"/>
    <w:p w14:paraId="0C12A949" w14:textId="77777777" w:rsidR="005F6F21" w:rsidRDefault="005F6F21" w:rsidP="00E767B1"/>
    <w:p w14:paraId="42F517C2" w14:textId="77777777" w:rsidR="00A67AA6" w:rsidRDefault="00A67AA6" w:rsidP="00E767B1"/>
    <w:p w14:paraId="4F9D36D5" w14:textId="77777777" w:rsidR="00E767B1" w:rsidRDefault="00E767B1" w:rsidP="00E767B1"/>
    <w:p w14:paraId="3C6F3C23" w14:textId="18040DD7" w:rsidR="00CE4A62" w:rsidRDefault="002F69A6" w:rsidP="00E767B1">
      <w:r>
        <w:rPr>
          <w:noProof/>
        </w:rPr>
        <w:drawing>
          <wp:inline distT="0" distB="0" distL="0" distR="0" wp14:anchorId="6E93A182" wp14:editId="01B98B1C">
            <wp:extent cx="5943600" cy="3783330"/>
            <wp:effectExtent l="0" t="0" r="0" b="762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52EDA742" w14:textId="0236818C" w:rsidR="002F69A6" w:rsidRDefault="002F69A6" w:rsidP="00E767B1"/>
    <w:p w14:paraId="001480ED" w14:textId="317D8877" w:rsidR="002F69A6" w:rsidRDefault="002F69A6" w:rsidP="00E767B1">
      <w:r>
        <w:rPr>
          <w:noProof/>
        </w:rPr>
        <w:drawing>
          <wp:inline distT="0" distB="0" distL="0" distR="0" wp14:anchorId="37E916EC" wp14:editId="1BE6B3A8">
            <wp:extent cx="5943600" cy="3839845"/>
            <wp:effectExtent l="0" t="0" r="0" b="8255"/>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sectPr w:rsidR="002F69A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F31CF9"/>
    <w:multiLevelType w:val="hybridMultilevel"/>
    <w:tmpl w:val="F894E400"/>
    <w:lvl w:ilvl="0" w:tplc="F47E197C">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92745B"/>
    <w:multiLevelType w:val="hybridMultilevel"/>
    <w:tmpl w:val="92569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62F5D04"/>
    <w:multiLevelType w:val="hybridMultilevel"/>
    <w:tmpl w:val="35FED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F293A0D"/>
    <w:multiLevelType w:val="hybridMultilevel"/>
    <w:tmpl w:val="68448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6E909BF"/>
    <w:multiLevelType w:val="hybridMultilevel"/>
    <w:tmpl w:val="6C487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2EC5CFD"/>
    <w:multiLevelType w:val="hybridMultilevel"/>
    <w:tmpl w:val="1E0C1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C916A69"/>
    <w:multiLevelType w:val="hybridMultilevel"/>
    <w:tmpl w:val="85D48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21A482D"/>
    <w:multiLevelType w:val="hybridMultilevel"/>
    <w:tmpl w:val="3D8690B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20206CD"/>
    <w:multiLevelType w:val="hybridMultilevel"/>
    <w:tmpl w:val="41DE412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A6A761A"/>
    <w:multiLevelType w:val="hybridMultilevel"/>
    <w:tmpl w:val="299211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E1A0E56"/>
    <w:multiLevelType w:val="hybridMultilevel"/>
    <w:tmpl w:val="6AB045C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2"/>
  </w:num>
  <w:num w:numId="4">
    <w:abstractNumId w:val="5"/>
  </w:num>
  <w:num w:numId="5">
    <w:abstractNumId w:val="1"/>
  </w:num>
  <w:num w:numId="6">
    <w:abstractNumId w:val="3"/>
  </w:num>
  <w:num w:numId="7">
    <w:abstractNumId w:val="10"/>
  </w:num>
  <w:num w:numId="8">
    <w:abstractNumId w:val="8"/>
  </w:num>
  <w:num w:numId="9">
    <w:abstractNumId w:val="7"/>
  </w:num>
  <w:num w:numId="10">
    <w:abstractNumId w:val="9"/>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67B1"/>
    <w:rsid w:val="00092559"/>
    <w:rsid w:val="000D35F3"/>
    <w:rsid w:val="000F56E4"/>
    <w:rsid w:val="0013681E"/>
    <w:rsid w:val="001D6DB9"/>
    <w:rsid w:val="001F28A8"/>
    <w:rsid w:val="001F5EE0"/>
    <w:rsid w:val="002F69A6"/>
    <w:rsid w:val="003017FF"/>
    <w:rsid w:val="00302779"/>
    <w:rsid w:val="003371F3"/>
    <w:rsid w:val="00386A9C"/>
    <w:rsid w:val="00397C85"/>
    <w:rsid w:val="003C671F"/>
    <w:rsid w:val="003C6B01"/>
    <w:rsid w:val="003D1E73"/>
    <w:rsid w:val="00400F18"/>
    <w:rsid w:val="00404941"/>
    <w:rsid w:val="00452868"/>
    <w:rsid w:val="004B772A"/>
    <w:rsid w:val="004C6E16"/>
    <w:rsid w:val="004E121F"/>
    <w:rsid w:val="00524935"/>
    <w:rsid w:val="00590877"/>
    <w:rsid w:val="005D6696"/>
    <w:rsid w:val="005E5FEE"/>
    <w:rsid w:val="005F6F21"/>
    <w:rsid w:val="00615A6B"/>
    <w:rsid w:val="0068366D"/>
    <w:rsid w:val="006C4DE0"/>
    <w:rsid w:val="0071443B"/>
    <w:rsid w:val="00740483"/>
    <w:rsid w:val="00761132"/>
    <w:rsid w:val="007653E1"/>
    <w:rsid w:val="007732A9"/>
    <w:rsid w:val="00791D2E"/>
    <w:rsid w:val="00792642"/>
    <w:rsid w:val="00795530"/>
    <w:rsid w:val="007A1A16"/>
    <w:rsid w:val="007A399E"/>
    <w:rsid w:val="007E1706"/>
    <w:rsid w:val="008244EC"/>
    <w:rsid w:val="00842980"/>
    <w:rsid w:val="00881BEE"/>
    <w:rsid w:val="008A1A06"/>
    <w:rsid w:val="00987957"/>
    <w:rsid w:val="009A01B0"/>
    <w:rsid w:val="009D54E2"/>
    <w:rsid w:val="00A20A86"/>
    <w:rsid w:val="00A216C6"/>
    <w:rsid w:val="00A24CD6"/>
    <w:rsid w:val="00A27A06"/>
    <w:rsid w:val="00A51A4C"/>
    <w:rsid w:val="00A67AA6"/>
    <w:rsid w:val="00A9511B"/>
    <w:rsid w:val="00A97B93"/>
    <w:rsid w:val="00AA4850"/>
    <w:rsid w:val="00AE6AD7"/>
    <w:rsid w:val="00B16908"/>
    <w:rsid w:val="00B7266C"/>
    <w:rsid w:val="00B950DF"/>
    <w:rsid w:val="00B9554B"/>
    <w:rsid w:val="00BA00A3"/>
    <w:rsid w:val="00BB2194"/>
    <w:rsid w:val="00BC0416"/>
    <w:rsid w:val="00C1565D"/>
    <w:rsid w:val="00C575F3"/>
    <w:rsid w:val="00C71525"/>
    <w:rsid w:val="00C759A7"/>
    <w:rsid w:val="00C901D4"/>
    <w:rsid w:val="00CD783D"/>
    <w:rsid w:val="00CE4A62"/>
    <w:rsid w:val="00D209C8"/>
    <w:rsid w:val="00D61916"/>
    <w:rsid w:val="00D931CD"/>
    <w:rsid w:val="00E4160D"/>
    <w:rsid w:val="00E767B1"/>
    <w:rsid w:val="00E85D88"/>
    <w:rsid w:val="00EA414F"/>
    <w:rsid w:val="00EC1964"/>
    <w:rsid w:val="00F06E8E"/>
    <w:rsid w:val="00F405D5"/>
    <w:rsid w:val="00F4403D"/>
    <w:rsid w:val="00F71011"/>
    <w:rsid w:val="00F960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CD419F"/>
  <w15:chartTrackingRefBased/>
  <w15:docId w15:val="{BAC8A92C-26FF-436A-9290-72D2189C3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3D1E7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405D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759A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59A7"/>
    <w:rPr>
      <w:rFonts w:ascii="Segoe UI" w:hAnsi="Segoe UI" w:cs="Segoe UI"/>
      <w:sz w:val="18"/>
      <w:szCs w:val="18"/>
    </w:rPr>
  </w:style>
  <w:style w:type="paragraph" w:styleId="ListParagraph">
    <w:name w:val="List Paragraph"/>
    <w:basedOn w:val="Normal"/>
    <w:uiPriority w:val="34"/>
    <w:qFormat/>
    <w:rsid w:val="00C759A7"/>
    <w:pPr>
      <w:ind w:left="720"/>
      <w:contextualSpacing/>
    </w:pPr>
  </w:style>
  <w:style w:type="character" w:customStyle="1" w:styleId="Heading1Char">
    <w:name w:val="Heading 1 Char"/>
    <w:basedOn w:val="DefaultParagraphFont"/>
    <w:link w:val="Heading1"/>
    <w:uiPriority w:val="9"/>
    <w:rsid w:val="003D1E73"/>
    <w:rPr>
      <w:rFonts w:asciiTheme="majorHAnsi" w:eastAsiaTheme="majorEastAsia" w:hAnsiTheme="majorHAnsi" w:cstheme="majorBidi"/>
      <w:color w:val="2E74B5" w:themeColor="accent1" w:themeShade="BF"/>
      <w:sz w:val="32"/>
      <w:szCs w:val="32"/>
    </w:rPr>
  </w:style>
  <w:style w:type="paragraph" w:styleId="NoSpacing">
    <w:name w:val="No Spacing"/>
    <w:uiPriority w:val="1"/>
    <w:qFormat/>
    <w:rsid w:val="00F405D5"/>
    <w:pPr>
      <w:spacing w:after="0" w:line="240" w:lineRule="auto"/>
    </w:pPr>
  </w:style>
  <w:style w:type="character" w:customStyle="1" w:styleId="Heading2Char">
    <w:name w:val="Heading 2 Char"/>
    <w:basedOn w:val="DefaultParagraphFont"/>
    <w:link w:val="Heading2"/>
    <w:uiPriority w:val="9"/>
    <w:rsid w:val="00F405D5"/>
    <w:rPr>
      <w:rFonts w:asciiTheme="majorHAnsi" w:eastAsiaTheme="majorEastAsia" w:hAnsiTheme="majorHAnsi" w:cstheme="majorBidi"/>
      <w:color w:val="2E74B5" w:themeColor="accent1" w:themeShade="BF"/>
      <w:sz w:val="26"/>
      <w:szCs w:val="26"/>
    </w:rPr>
  </w:style>
  <w:style w:type="character" w:styleId="CommentReference">
    <w:name w:val="annotation reference"/>
    <w:basedOn w:val="DefaultParagraphFont"/>
    <w:uiPriority w:val="99"/>
    <w:semiHidden/>
    <w:unhideWhenUsed/>
    <w:rsid w:val="001F28A8"/>
    <w:rPr>
      <w:sz w:val="16"/>
      <w:szCs w:val="16"/>
    </w:rPr>
  </w:style>
  <w:style w:type="paragraph" w:styleId="CommentText">
    <w:name w:val="annotation text"/>
    <w:basedOn w:val="Normal"/>
    <w:link w:val="CommentTextChar"/>
    <w:uiPriority w:val="99"/>
    <w:semiHidden/>
    <w:unhideWhenUsed/>
    <w:rsid w:val="001F28A8"/>
    <w:pPr>
      <w:spacing w:line="240" w:lineRule="auto"/>
    </w:pPr>
    <w:rPr>
      <w:sz w:val="20"/>
      <w:szCs w:val="20"/>
    </w:rPr>
  </w:style>
  <w:style w:type="character" w:customStyle="1" w:styleId="CommentTextChar">
    <w:name w:val="Comment Text Char"/>
    <w:basedOn w:val="DefaultParagraphFont"/>
    <w:link w:val="CommentText"/>
    <w:uiPriority w:val="99"/>
    <w:semiHidden/>
    <w:rsid w:val="001F28A8"/>
    <w:rPr>
      <w:sz w:val="20"/>
      <w:szCs w:val="20"/>
    </w:rPr>
  </w:style>
  <w:style w:type="paragraph" w:styleId="CommentSubject">
    <w:name w:val="annotation subject"/>
    <w:basedOn w:val="CommentText"/>
    <w:next w:val="CommentText"/>
    <w:link w:val="CommentSubjectChar"/>
    <w:uiPriority w:val="99"/>
    <w:semiHidden/>
    <w:unhideWhenUsed/>
    <w:rsid w:val="001F28A8"/>
    <w:rPr>
      <w:b/>
      <w:bCs/>
    </w:rPr>
  </w:style>
  <w:style w:type="character" w:customStyle="1" w:styleId="CommentSubjectChar">
    <w:name w:val="Comment Subject Char"/>
    <w:basedOn w:val="CommentTextChar"/>
    <w:link w:val="CommentSubject"/>
    <w:uiPriority w:val="99"/>
    <w:semiHidden/>
    <w:rsid w:val="001F28A8"/>
    <w:rPr>
      <w:b/>
      <w:bCs/>
      <w:sz w:val="20"/>
      <w:szCs w:val="20"/>
    </w:rPr>
  </w:style>
  <w:style w:type="character" w:styleId="Hyperlink">
    <w:name w:val="Hyperlink"/>
    <w:basedOn w:val="DefaultParagraphFont"/>
    <w:uiPriority w:val="99"/>
    <w:unhideWhenUsed/>
    <w:rsid w:val="001D6DB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9764207">
      <w:bodyDiv w:val="1"/>
      <w:marLeft w:val="0"/>
      <w:marRight w:val="0"/>
      <w:marTop w:val="0"/>
      <w:marBottom w:val="0"/>
      <w:divBdr>
        <w:top w:val="none" w:sz="0" w:space="0" w:color="auto"/>
        <w:left w:val="none" w:sz="0" w:space="0" w:color="auto"/>
        <w:bottom w:val="none" w:sz="0" w:space="0" w:color="auto"/>
        <w:right w:val="none" w:sz="0" w:space="0" w:color="auto"/>
      </w:divBdr>
    </w:div>
    <w:div w:id="469204479">
      <w:bodyDiv w:val="1"/>
      <w:marLeft w:val="0"/>
      <w:marRight w:val="0"/>
      <w:marTop w:val="0"/>
      <w:marBottom w:val="0"/>
      <w:divBdr>
        <w:top w:val="none" w:sz="0" w:space="0" w:color="auto"/>
        <w:left w:val="none" w:sz="0" w:space="0" w:color="auto"/>
        <w:bottom w:val="none" w:sz="0" w:space="0" w:color="auto"/>
        <w:right w:val="none" w:sz="0" w:space="0" w:color="auto"/>
      </w:divBdr>
    </w:div>
    <w:div w:id="473303613">
      <w:bodyDiv w:val="1"/>
      <w:marLeft w:val="0"/>
      <w:marRight w:val="0"/>
      <w:marTop w:val="0"/>
      <w:marBottom w:val="0"/>
      <w:divBdr>
        <w:top w:val="none" w:sz="0" w:space="0" w:color="auto"/>
        <w:left w:val="none" w:sz="0" w:space="0" w:color="auto"/>
        <w:bottom w:val="none" w:sz="0" w:space="0" w:color="auto"/>
        <w:right w:val="none" w:sz="0" w:space="0" w:color="auto"/>
      </w:divBdr>
    </w:div>
    <w:div w:id="762190452">
      <w:bodyDiv w:val="1"/>
      <w:marLeft w:val="0"/>
      <w:marRight w:val="0"/>
      <w:marTop w:val="0"/>
      <w:marBottom w:val="0"/>
      <w:divBdr>
        <w:top w:val="none" w:sz="0" w:space="0" w:color="auto"/>
        <w:left w:val="none" w:sz="0" w:space="0" w:color="auto"/>
        <w:bottom w:val="none" w:sz="0" w:space="0" w:color="auto"/>
        <w:right w:val="none" w:sz="0" w:space="0" w:color="auto"/>
      </w:divBdr>
    </w:div>
    <w:div w:id="1285189307">
      <w:bodyDiv w:val="1"/>
      <w:marLeft w:val="0"/>
      <w:marRight w:val="0"/>
      <w:marTop w:val="0"/>
      <w:marBottom w:val="0"/>
      <w:divBdr>
        <w:top w:val="none" w:sz="0" w:space="0" w:color="auto"/>
        <w:left w:val="none" w:sz="0" w:space="0" w:color="auto"/>
        <w:bottom w:val="none" w:sz="0" w:space="0" w:color="auto"/>
        <w:right w:val="none" w:sz="0" w:space="0" w:color="auto"/>
      </w:divBdr>
    </w:div>
    <w:div w:id="1493374929">
      <w:bodyDiv w:val="1"/>
      <w:marLeft w:val="0"/>
      <w:marRight w:val="0"/>
      <w:marTop w:val="0"/>
      <w:marBottom w:val="0"/>
      <w:divBdr>
        <w:top w:val="none" w:sz="0" w:space="0" w:color="auto"/>
        <w:left w:val="none" w:sz="0" w:space="0" w:color="auto"/>
        <w:bottom w:val="none" w:sz="0" w:space="0" w:color="auto"/>
        <w:right w:val="none" w:sz="0" w:space="0" w:color="auto"/>
      </w:divBdr>
    </w:div>
    <w:div w:id="1678998252">
      <w:bodyDiv w:val="1"/>
      <w:marLeft w:val="0"/>
      <w:marRight w:val="0"/>
      <w:marTop w:val="0"/>
      <w:marBottom w:val="0"/>
      <w:divBdr>
        <w:top w:val="none" w:sz="0" w:space="0" w:color="auto"/>
        <w:left w:val="none" w:sz="0" w:space="0" w:color="auto"/>
        <w:bottom w:val="none" w:sz="0" w:space="0" w:color="auto"/>
        <w:right w:val="none" w:sz="0" w:space="0" w:color="auto"/>
      </w:divBdr>
    </w:div>
    <w:div w:id="1801800462">
      <w:bodyDiv w:val="1"/>
      <w:marLeft w:val="0"/>
      <w:marRight w:val="0"/>
      <w:marTop w:val="0"/>
      <w:marBottom w:val="0"/>
      <w:divBdr>
        <w:top w:val="none" w:sz="0" w:space="0" w:color="auto"/>
        <w:left w:val="none" w:sz="0" w:space="0" w:color="auto"/>
        <w:bottom w:val="none" w:sz="0" w:space="0" w:color="auto"/>
        <w:right w:val="none" w:sz="0" w:space="0" w:color="auto"/>
      </w:divBdr>
    </w:div>
    <w:div w:id="2037387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hart" Target="charts/chart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hart" Target="charts/chart1.xml"/><Relationship Id="rId5" Type="http://schemas.openxmlformats.org/officeDocument/2006/relationships/hyperlink" Target="https://www.census.gov/econ/qfr/mmws/current/qfr_pub.pdf" TargetMode="External"/><Relationship Id="rId4" Type="http://schemas.openxmlformats.org/officeDocument/2006/relationships/webSettings" Target="webSettings.xml"/><Relationship Id="rId9"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file:///\\IT172OAFS-OA05\Home_H\hurry001\Timeline%20playaround.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IT172OAFS-OA05\Home_H\hurry001\Timeline%20playaround.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All Manufacturing Asset Size Timeline</a:t>
            </a:r>
          </a:p>
          <a:p>
            <a:pPr>
              <a:defRPr/>
            </a:pPr>
            <a:r>
              <a:rPr lang="en-US"/>
              <a:t>(Millions)</a:t>
            </a:r>
          </a:p>
        </c:rich>
      </c:tx>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smoothMarker"/>
        <c:varyColors val="0"/>
        <c:ser>
          <c:idx val="0"/>
          <c:order val="0"/>
          <c:tx>
            <c:strRef>
              <c:f>Sheet3!$B$14</c:f>
              <c:strCache>
                <c:ptCount val="1"/>
                <c:pt idx="0">
                  <c:v>&lt;1/4</c:v>
                </c:pt>
              </c:strCache>
            </c:strRef>
          </c:tx>
          <c:spPr>
            <a:ln w="19050" cap="rnd">
              <a:solidFill>
                <a:schemeClr val="accent1"/>
              </a:solidFill>
              <a:round/>
            </a:ln>
            <a:effectLst/>
          </c:spPr>
          <c:marker>
            <c:symbol val="none"/>
          </c:marker>
          <c:xVal>
            <c:numRef>
              <c:f>Sheet3!$A$15:$A$85</c:f>
              <c:numCache>
                <c:formatCode>General</c:formatCode>
                <c:ptCount val="71"/>
                <c:pt idx="0">
                  <c:v>1947</c:v>
                </c:pt>
                <c:pt idx="1">
                  <c:v>1948</c:v>
                </c:pt>
                <c:pt idx="2">
                  <c:v>1949</c:v>
                </c:pt>
                <c:pt idx="3">
                  <c:v>1950</c:v>
                </c:pt>
                <c:pt idx="4">
                  <c:v>1951</c:v>
                </c:pt>
                <c:pt idx="5">
                  <c:v>1952</c:v>
                </c:pt>
                <c:pt idx="6">
                  <c:v>1953</c:v>
                </c:pt>
                <c:pt idx="7">
                  <c:v>1954</c:v>
                </c:pt>
                <c:pt idx="8">
                  <c:v>1955</c:v>
                </c:pt>
                <c:pt idx="9">
                  <c:v>1956</c:v>
                </c:pt>
                <c:pt idx="10">
                  <c:v>1957</c:v>
                </c:pt>
                <c:pt idx="11">
                  <c:v>1958</c:v>
                </c:pt>
                <c:pt idx="12">
                  <c:v>1959</c:v>
                </c:pt>
                <c:pt idx="13">
                  <c:v>1960</c:v>
                </c:pt>
                <c:pt idx="14">
                  <c:v>1961</c:v>
                </c:pt>
                <c:pt idx="15">
                  <c:v>1962</c:v>
                </c:pt>
                <c:pt idx="16">
                  <c:v>1963</c:v>
                </c:pt>
                <c:pt idx="17">
                  <c:v>1964</c:v>
                </c:pt>
                <c:pt idx="18">
                  <c:v>1965</c:v>
                </c:pt>
                <c:pt idx="19">
                  <c:v>1966</c:v>
                </c:pt>
                <c:pt idx="20">
                  <c:v>1967</c:v>
                </c:pt>
                <c:pt idx="21">
                  <c:v>1968</c:v>
                </c:pt>
                <c:pt idx="22">
                  <c:v>1969</c:v>
                </c:pt>
                <c:pt idx="23">
                  <c:v>1970</c:v>
                </c:pt>
                <c:pt idx="24">
                  <c:v>1971</c:v>
                </c:pt>
                <c:pt idx="25">
                  <c:v>1972</c:v>
                </c:pt>
                <c:pt idx="26">
                  <c:v>1973</c:v>
                </c:pt>
                <c:pt idx="27">
                  <c:v>1974</c:v>
                </c:pt>
                <c:pt idx="28">
                  <c:v>1975</c:v>
                </c:pt>
                <c:pt idx="29">
                  <c:v>1976</c:v>
                </c:pt>
                <c:pt idx="30">
                  <c:v>1977</c:v>
                </c:pt>
                <c:pt idx="31">
                  <c:v>1978</c:v>
                </c:pt>
                <c:pt idx="32">
                  <c:v>1979</c:v>
                </c:pt>
                <c:pt idx="33">
                  <c:v>1980</c:v>
                </c:pt>
                <c:pt idx="34">
                  <c:v>1981</c:v>
                </c:pt>
                <c:pt idx="35">
                  <c:v>1982</c:v>
                </c:pt>
                <c:pt idx="36">
                  <c:v>1983</c:v>
                </c:pt>
                <c:pt idx="37">
                  <c:v>1984</c:v>
                </c:pt>
                <c:pt idx="38">
                  <c:v>1985</c:v>
                </c:pt>
                <c:pt idx="39">
                  <c:v>1986</c:v>
                </c:pt>
                <c:pt idx="40">
                  <c:v>1987</c:v>
                </c:pt>
                <c:pt idx="41">
                  <c:v>1988</c:v>
                </c:pt>
                <c:pt idx="42">
                  <c:v>1989</c:v>
                </c:pt>
                <c:pt idx="43">
                  <c:v>1990</c:v>
                </c:pt>
                <c:pt idx="44">
                  <c:v>1991</c:v>
                </c:pt>
                <c:pt idx="45">
                  <c:v>1992</c:v>
                </c:pt>
                <c:pt idx="46">
                  <c:v>1993</c:v>
                </c:pt>
                <c:pt idx="47">
                  <c:v>1994</c:v>
                </c:pt>
                <c:pt idx="48">
                  <c:v>1995</c:v>
                </c:pt>
                <c:pt idx="49">
                  <c:v>1996</c:v>
                </c:pt>
                <c:pt idx="50">
                  <c:v>1997</c:v>
                </c:pt>
                <c:pt idx="51">
                  <c:v>1998</c:v>
                </c:pt>
                <c:pt idx="52">
                  <c:v>1999</c:v>
                </c:pt>
                <c:pt idx="53">
                  <c:v>2000</c:v>
                </c:pt>
                <c:pt idx="54">
                  <c:v>2001</c:v>
                </c:pt>
                <c:pt idx="55">
                  <c:v>2002</c:v>
                </c:pt>
                <c:pt idx="56">
                  <c:v>2003</c:v>
                </c:pt>
                <c:pt idx="57">
                  <c:v>2004</c:v>
                </c:pt>
                <c:pt idx="58">
                  <c:v>2005</c:v>
                </c:pt>
                <c:pt idx="59">
                  <c:v>2006</c:v>
                </c:pt>
                <c:pt idx="60">
                  <c:v>2007</c:v>
                </c:pt>
                <c:pt idx="61">
                  <c:v>2008</c:v>
                </c:pt>
                <c:pt idx="62">
                  <c:v>2009</c:v>
                </c:pt>
                <c:pt idx="63">
                  <c:v>2010</c:v>
                </c:pt>
                <c:pt idx="64">
                  <c:v>2011</c:v>
                </c:pt>
                <c:pt idx="65">
                  <c:v>2012</c:v>
                </c:pt>
                <c:pt idx="66">
                  <c:v>2013</c:v>
                </c:pt>
                <c:pt idx="67">
                  <c:v>2014</c:v>
                </c:pt>
                <c:pt idx="68">
                  <c:v>2015</c:v>
                </c:pt>
                <c:pt idx="69">
                  <c:v>2016</c:v>
                </c:pt>
                <c:pt idx="70">
                  <c:v>2017</c:v>
                </c:pt>
              </c:numCache>
            </c:numRef>
          </c:xVal>
          <c:yVal>
            <c:numRef>
              <c:f>Sheet3!$B$15:$B$85</c:f>
              <c:numCache>
                <c:formatCode>General</c:formatCode>
                <c:ptCount val="71"/>
                <c:pt idx="0">
                  <c:v>1</c:v>
                </c:pt>
                <c:pt idx="1">
                  <c:v>1</c:v>
                </c:pt>
                <c:pt idx="2">
                  <c:v>1</c:v>
                </c:pt>
                <c:pt idx="3">
                  <c:v>1</c:v>
                </c:pt>
                <c:pt idx="4">
                  <c:v>1</c:v>
                </c:pt>
                <c:pt idx="5">
                  <c:v>1</c:v>
                </c:pt>
                <c:pt idx="6">
                  <c:v>1</c:v>
                </c:pt>
                <c:pt idx="7">
                  <c:v>1</c:v>
                </c:pt>
                <c:pt idx="8">
                  <c:v>1</c:v>
                </c:pt>
                <c:pt idx="9">
                  <c:v>1</c:v>
                </c:pt>
                <c:pt idx="10">
                  <c:v>1</c:v>
                </c:pt>
                <c:pt idx="11">
                  <c:v>1</c:v>
                </c:pt>
                <c:pt idx="12">
                  <c:v>1</c:v>
                </c:pt>
              </c:numCache>
            </c:numRef>
          </c:yVal>
          <c:smooth val="1"/>
          <c:extLst>
            <c:ext xmlns:c16="http://schemas.microsoft.com/office/drawing/2014/chart" uri="{C3380CC4-5D6E-409C-BE32-E72D297353CC}">
              <c16:uniqueId val="{00000000-D8A1-447F-98A2-14A48FA1C905}"/>
            </c:ext>
          </c:extLst>
        </c:ser>
        <c:ser>
          <c:idx val="1"/>
          <c:order val="1"/>
          <c:tx>
            <c:strRef>
              <c:f>Sheet3!$C$14</c:f>
              <c:strCache>
                <c:ptCount val="1"/>
                <c:pt idx="0">
                  <c:v>1/4 - 1</c:v>
                </c:pt>
              </c:strCache>
            </c:strRef>
          </c:tx>
          <c:spPr>
            <a:ln w="19050" cap="rnd">
              <a:solidFill>
                <a:schemeClr val="accent2"/>
              </a:solidFill>
              <a:round/>
            </a:ln>
            <a:effectLst/>
          </c:spPr>
          <c:marker>
            <c:symbol val="none"/>
          </c:marker>
          <c:xVal>
            <c:numRef>
              <c:f>Sheet3!$A$15:$A$85</c:f>
              <c:numCache>
                <c:formatCode>General</c:formatCode>
                <c:ptCount val="71"/>
                <c:pt idx="0">
                  <c:v>1947</c:v>
                </c:pt>
                <c:pt idx="1">
                  <c:v>1948</c:v>
                </c:pt>
                <c:pt idx="2">
                  <c:v>1949</c:v>
                </c:pt>
                <c:pt idx="3">
                  <c:v>1950</c:v>
                </c:pt>
                <c:pt idx="4">
                  <c:v>1951</c:v>
                </c:pt>
                <c:pt idx="5">
                  <c:v>1952</c:v>
                </c:pt>
                <c:pt idx="6">
                  <c:v>1953</c:v>
                </c:pt>
                <c:pt idx="7">
                  <c:v>1954</c:v>
                </c:pt>
                <c:pt idx="8">
                  <c:v>1955</c:v>
                </c:pt>
                <c:pt idx="9">
                  <c:v>1956</c:v>
                </c:pt>
                <c:pt idx="10">
                  <c:v>1957</c:v>
                </c:pt>
                <c:pt idx="11">
                  <c:v>1958</c:v>
                </c:pt>
                <c:pt idx="12">
                  <c:v>1959</c:v>
                </c:pt>
                <c:pt idx="13">
                  <c:v>1960</c:v>
                </c:pt>
                <c:pt idx="14">
                  <c:v>1961</c:v>
                </c:pt>
                <c:pt idx="15">
                  <c:v>1962</c:v>
                </c:pt>
                <c:pt idx="16">
                  <c:v>1963</c:v>
                </c:pt>
                <c:pt idx="17">
                  <c:v>1964</c:v>
                </c:pt>
                <c:pt idx="18">
                  <c:v>1965</c:v>
                </c:pt>
                <c:pt idx="19">
                  <c:v>1966</c:v>
                </c:pt>
                <c:pt idx="20">
                  <c:v>1967</c:v>
                </c:pt>
                <c:pt idx="21">
                  <c:v>1968</c:v>
                </c:pt>
                <c:pt idx="22">
                  <c:v>1969</c:v>
                </c:pt>
                <c:pt idx="23">
                  <c:v>1970</c:v>
                </c:pt>
                <c:pt idx="24">
                  <c:v>1971</c:v>
                </c:pt>
                <c:pt idx="25">
                  <c:v>1972</c:v>
                </c:pt>
                <c:pt idx="26">
                  <c:v>1973</c:v>
                </c:pt>
                <c:pt idx="27">
                  <c:v>1974</c:v>
                </c:pt>
                <c:pt idx="28">
                  <c:v>1975</c:v>
                </c:pt>
                <c:pt idx="29">
                  <c:v>1976</c:v>
                </c:pt>
                <c:pt idx="30">
                  <c:v>1977</c:v>
                </c:pt>
                <c:pt idx="31">
                  <c:v>1978</c:v>
                </c:pt>
                <c:pt idx="32">
                  <c:v>1979</c:v>
                </c:pt>
                <c:pt idx="33">
                  <c:v>1980</c:v>
                </c:pt>
                <c:pt idx="34">
                  <c:v>1981</c:v>
                </c:pt>
                <c:pt idx="35">
                  <c:v>1982</c:v>
                </c:pt>
                <c:pt idx="36">
                  <c:v>1983</c:v>
                </c:pt>
                <c:pt idx="37">
                  <c:v>1984</c:v>
                </c:pt>
                <c:pt idx="38">
                  <c:v>1985</c:v>
                </c:pt>
                <c:pt idx="39">
                  <c:v>1986</c:v>
                </c:pt>
                <c:pt idx="40">
                  <c:v>1987</c:v>
                </c:pt>
                <c:pt idx="41">
                  <c:v>1988</c:v>
                </c:pt>
                <c:pt idx="42">
                  <c:v>1989</c:v>
                </c:pt>
                <c:pt idx="43">
                  <c:v>1990</c:v>
                </c:pt>
                <c:pt idx="44">
                  <c:v>1991</c:v>
                </c:pt>
                <c:pt idx="45">
                  <c:v>1992</c:v>
                </c:pt>
                <c:pt idx="46">
                  <c:v>1993</c:v>
                </c:pt>
                <c:pt idx="47">
                  <c:v>1994</c:v>
                </c:pt>
                <c:pt idx="48">
                  <c:v>1995</c:v>
                </c:pt>
                <c:pt idx="49">
                  <c:v>1996</c:v>
                </c:pt>
                <c:pt idx="50">
                  <c:v>1997</c:v>
                </c:pt>
                <c:pt idx="51">
                  <c:v>1998</c:v>
                </c:pt>
                <c:pt idx="52">
                  <c:v>1999</c:v>
                </c:pt>
                <c:pt idx="53">
                  <c:v>2000</c:v>
                </c:pt>
                <c:pt idx="54">
                  <c:v>2001</c:v>
                </c:pt>
                <c:pt idx="55">
                  <c:v>2002</c:v>
                </c:pt>
                <c:pt idx="56">
                  <c:v>2003</c:v>
                </c:pt>
                <c:pt idx="57">
                  <c:v>2004</c:v>
                </c:pt>
                <c:pt idx="58">
                  <c:v>2005</c:v>
                </c:pt>
                <c:pt idx="59">
                  <c:v>2006</c:v>
                </c:pt>
                <c:pt idx="60">
                  <c:v>2007</c:v>
                </c:pt>
                <c:pt idx="61">
                  <c:v>2008</c:v>
                </c:pt>
                <c:pt idx="62">
                  <c:v>2009</c:v>
                </c:pt>
                <c:pt idx="63">
                  <c:v>2010</c:v>
                </c:pt>
                <c:pt idx="64">
                  <c:v>2011</c:v>
                </c:pt>
                <c:pt idx="65">
                  <c:v>2012</c:v>
                </c:pt>
                <c:pt idx="66">
                  <c:v>2013</c:v>
                </c:pt>
                <c:pt idx="67">
                  <c:v>2014</c:v>
                </c:pt>
                <c:pt idx="68">
                  <c:v>2015</c:v>
                </c:pt>
                <c:pt idx="69">
                  <c:v>2016</c:v>
                </c:pt>
                <c:pt idx="70">
                  <c:v>2017</c:v>
                </c:pt>
              </c:numCache>
            </c:numRef>
          </c:xVal>
          <c:yVal>
            <c:numRef>
              <c:f>Sheet3!$C$15:$C$85</c:f>
              <c:numCache>
                <c:formatCode>General</c:formatCode>
                <c:ptCount val="71"/>
                <c:pt idx="0">
                  <c:v>2</c:v>
                </c:pt>
                <c:pt idx="1">
                  <c:v>2</c:v>
                </c:pt>
                <c:pt idx="2">
                  <c:v>2</c:v>
                </c:pt>
                <c:pt idx="3">
                  <c:v>2</c:v>
                </c:pt>
                <c:pt idx="4">
                  <c:v>2</c:v>
                </c:pt>
                <c:pt idx="5">
                  <c:v>2</c:v>
                </c:pt>
                <c:pt idx="6">
                  <c:v>2</c:v>
                </c:pt>
                <c:pt idx="7">
                  <c:v>2</c:v>
                </c:pt>
                <c:pt idx="8">
                  <c:v>2</c:v>
                </c:pt>
                <c:pt idx="9">
                  <c:v>2</c:v>
                </c:pt>
                <c:pt idx="10">
                  <c:v>2</c:v>
                </c:pt>
                <c:pt idx="11">
                  <c:v>2</c:v>
                </c:pt>
                <c:pt idx="12">
                  <c:v>2</c:v>
                </c:pt>
              </c:numCache>
            </c:numRef>
          </c:yVal>
          <c:smooth val="1"/>
          <c:extLst>
            <c:ext xmlns:c16="http://schemas.microsoft.com/office/drawing/2014/chart" uri="{C3380CC4-5D6E-409C-BE32-E72D297353CC}">
              <c16:uniqueId val="{00000001-D8A1-447F-98A2-14A48FA1C905}"/>
            </c:ext>
          </c:extLst>
        </c:ser>
        <c:ser>
          <c:idx val="2"/>
          <c:order val="2"/>
          <c:tx>
            <c:strRef>
              <c:f>Sheet3!$D$14</c:f>
              <c:strCache>
                <c:ptCount val="1"/>
                <c:pt idx="0">
                  <c:v>&lt;1</c:v>
                </c:pt>
              </c:strCache>
            </c:strRef>
          </c:tx>
          <c:spPr>
            <a:ln w="19050" cap="rnd">
              <a:solidFill>
                <a:schemeClr val="accent3"/>
              </a:solidFill>
              <a:round/>
            </a:ln>
            <a:effectLst/>
          </c:spPr>
          <c:marker>
            <c:symbol val="none"/>
          </c:marker>
          <c:xVal>
            <c:numRef>
              <c:f>Sheet3!$A$15:$A$85</c:f>
              <c:numCache>
                <c:formatCode>General</c:formatCode>
                <c:ptCount val="71"/>
                <c:pt idx="0">
                  <c:v>1947</c:v>
                </c:pt>
                <c:pt idx="1">
                  <c:v>1948</c:v>
                </c:pt>
                <c:pt idx="2">
                  <c:v>1949</c:v>
                </c:pt>
                <c:pt idx="3">
                  <c:v>1950</c:v>
                </c:pt>
                <c:pt idx="4">
                  <c:v>1951</c:v>
                </c:pt>
                <c:pt idx="5">
                  <c:v>1952</c:v>
                </c:pt>
                <c:pt idx="6">
                  <c:v>1953</c:v>
                </c:pt>
                <c:pt idx="7">
                  <c:v>1954</c:v>
                </c:pt>
                <c:pt idx="8">
                  <c:v>1955</c:v>
                </c:pt>
                <c:pt idx="9">
                  <c:v>1956</c:v>
                </c:pt>
                <c:pt idx="10">
                  <c:v>1957</c:v>
                </c:pt>
                <c:pt idx="11">
                  <c:v>1958</c:v>
                </c:pt>
                <c:pt idx="12">
                  <c:v>1959</c:v>
                </c:pt>
                <c:pt idx="13">
                  <c:v>1960</c:v>
                </c:pt>
                <c:pt idx="14">
                  <c:v>1961</c:v>
                </c:pt>
                <c:pt idx="15">
                  <c:v>1962</c:v>
                </c:pt>
                <c:pt idx="16">
                  <c:v>1963</c:v>
                </c:pt>
                <c:pt idx="17">
                  <c:v>1964</c:v>
                </c:pt>
                <c:pt idx="18">
                  <c:v>1965</c:v>
                </c:pt>
                <c:pt idx="19">
                  <c:v>1966</c:v>
                </c:pt>
                <c:pt idx="20">
                  <c:v>1967</c:v>
                </c:pt>
                <c:pt idx="21">
                  <c:v>1968</c:v>
                </c:pt>
                <c:pt idx="22">
                  <c:v>1969</c:v>
                </c:pt>
                <c:pt idx="23">
                  <c:v>1970</c:v>
                </c:pt>
                <c:pt idx="24">
                  <c:v>1971</c:v>
                </c:pt>
                <c:pt idx="25">
                  <c:v>1972</c:v>
                </c:pt>
                <c:pt idx="26">
                  <c:v>1973</c:v>
                </c:pt>
                <c:pt idx="27">
                  <c:v>1974</c:v>
                </c:pt>
                <c:pt idx="28">
                  <c:v>1975</c:v>
                </c:pt>
                <c:pt idx="29">
                  <c:v>1976</c:v>
                </c:pt>
                <c:pt idx="30">
                  <c:v>1977</c:v>
                </c:pt>
                <c:pt idx="31">
                  <c:v>1978</c:v>
                </c:pt>
                <c:pt idx="32">
                  <c:v>1979</c:v>
                </c:pt>
                <c:pt idx="33">
                  <c:v>1980</c:v>
                </c:pt>
                <c:pt idx="34">
                  <c:v>1981</c:v>
                </c:pt>
                <c:pt idx="35">
                  <c:v>1982</c:v>
                </c:pt>
                <c:pt idx="36">
                  <c:v>1983</c:v>
                </c:pt>
                <c:pt idx="37">
                  <c:v>1984</c:v>
                </c:pt>
                <c:pt idx="38">
                  <c:v>1985</c:v>
                </c:pt>
                <c:pt idx="39">
                  <c:v>1986</c:v>
                </c:pt>
                <c:pt idx="40">
                  <c:v>1987</c:v>
                </c:pt>
                <c:pt idx="41">
                  <c:v>1988</c:v>
                </c:pt>
                <c:pt idx="42">
                  <c:v>1989</c:v>
                </c:pt>
                <c:pt idx="43">
                  <c:v>1990</c:v>
                </c:pt>
                <c:pt idx="44">
                  <c:v>1991</c:v>
                </c:pt>
                <c:pt idx="45">
                  <c:v>1992</c:v>
                </c:pt>
                <c:pt idx="46">
                  <c:v>1993</c:v>
                </c:pt>
                <c:pt idx="47">
                  <c:v>1994</c:v>
                </c:pt>
                <c:pt idx="48">
                  <c:v>1995</c:v>
                </c:pt>
                <c:pt idx="49">
                  <c:v>1996</c:v>
                </c:pt>
                <c:pt idx="50">
                  <c:v>1997</c:v>
                </c:pt>
                <c:pt idx="51">
                  <c:v>1998</c:v>
                </c:pt>
                <c:pt idx="52">
                  <c:v>1999</c:v>
                </c:pt>
                <c:pt idx="53">
                  <c:v>2000</c:v>
                </c:pt>
                <c:pt idx="54">
                  <c:v>2001</c:v>
                </c:pt>
                <c:pt idx="55">
                  <c:v>2002</c:v>
                </c:pt>
                <c:pt idx="56">
                  <c:v>2003</c:v>
                </c:pt>
                <c:pt idx="57">
                  <c:v>2004</c:v>
                </c:pt>
                <c:pt idx="58">
                  <c:v>2005</c:v>
                </c:pt>
                <c:pt idx="59">
                  <c:v>2006</c:v>
                </c:pt>
                <c:pt idx="60">
                  <c:v>2007</c:v>
                </c:pt>
                <c:pt idx="61">
                  <c:v>2008</c:v>
                </c:pt>
                <c:pt idx="62">
                  <c:v>2009</c:v>
                </c:pt>
                <c:pt idx="63">
                  <c:v>2010</c:v>
                </c:pt>
                <c:pt idx="64">
                  <c:v>2011</c:v>
                </c:pt>
                <c:pt idx="65">
                  <c:v>2012</c:v>
                </c:pt>
                <c:pt idx="66">
                  <c:v>2013</c:v>
                </c:pt>
                <c:pt idx="67">
                  <c:v>2014</c:v>
                </c:pt>
                <c:pt idx="68">
                  <c:v>2015</c:v>
                </c:pt>
                <c:pt idx="69">
                  <c:v>2016</c:v>
                </c:pt>
                <c:pt idx="70">
                  <c:v>2017</c:v>
                </c:pt>
              </c:numCache>
            </c:numRef>
          </c:xVal>
          <c:yVal>
            <c:numRef>
              <c:f>Sheet3!$D$15:$D$85</c:f>
              <c:numCache>
                <c:formatCode>General</c:formatCode>
                <c:ptCount val="71"/>
                <c:pt idx="13">
                  <c:v>3</c:v>
                </c:pt>
                <c:pt idx="14">
                  <c:v>3</c:v>
                </c:pt>
                <c:pt idx="15">
                  <c:v>3</c:v>
                </c:pt>
                <c:pt idx="16">
                  <c:v>3</c:v>
                </c:pt>
                <c:pt idx="17">
                  <c:v>3</c:v>
                </c:pt>
                <c:pt idx="18">
                  <c:v>3</c:v>
                </c:pt>
                <c:pt idx="19">
                  <c:v>3</c:v>
                </c:pt>
                <c:pt idx="20">
                  <c:v>3</c:v>
                </c:pt>
                <c:pt idx="21">
                  <c:v>3</c:v>
                </c:pt>
                <c:pt idx="22">
                  <c:v>3</c:v>
                </c:pt>
                <c:pt idx="23">
                  <c:v>3</c:v>
                </c:pt>
                <c:pt idx="24">
                  <c:v>3</c:v>
                </c:pt>
                <c:pt idx="25">
                  <c:v>3</c:v>
                </c:pt>
                <c:pt idx="26">
                  <c:v>3</c:v>
                </c:pt>
                <c:pt idx="27">
                  <c:v>3</c:v>
                </c:pt>
                <c:pt idx="28">
                  <c:v>3</c:v>
                </c:pt>
                <c:pt idx="29">
                  <c:v>3</c:v>
                </c:pt>
              </c:numCache>
            </c:numRef>
          </c:yVal>
          <c:smooth val="1"/>
          <c:extLst>
            <c:ext xmlns:c16="http://schemas.microsoft.com/office/drawing/2014/chart" uri="{C3380CC4-5D6E-409C-BE32-E72D297353CC}">
              <c16:uniqueId val="{00000002-D8A1-447F-98A2-14A48FA1C905}"/>
            </c:ext>
          </c:extLst>
        </c:ser>
        <c:ser>
          <c:idx val="3"/>
          <c:order val="3"/>
          <c:tx>
            <c:strRef>
              <c:f>Sheet3!$E$14</c:f>
              <c:strCache>
                <c:ptCount val="1"/>
                <c:pt idx="0">
                  <c:v>1 - 5</c:v>
                </c:pt>
              </c:strCache>
            </c:strRef>
          </c:tx>
          <c:spPr>
            <a:ln w="19050" cap="rnd">
              <a:solidFill>
                <a:schemeClr val="accent4"/>
              </a:solidFill>
              <a:round/>
            </a:ln>
            <a:effectLst/>
          </c:spPr>
          <c:marker>
            <c:symbol val="none"/>
          </c:marker>
          <c:xVal>
            <c:numRef>
              <c:f>Sheet3!$A$15:$A$85</c:f>
              <c:numCache>
                <c:formatCode>General</c:formatCode>
                <c:ptCount val="71"/>
                <c:pt idx="0">
                  <c:v>1947</c:v>
                </c:pt>
                <c:pt idx="1">
                  <c:v>1948</c:v>
                </c:pt>
                <c:pt idx="2">
                  <c:v>1949</c:v>
                </c:pt>
                <c:pt idx="3">
                  <c:v>1950</c:v>
                </c:pt>
                <c:pt idx="4">
                  <c:v>1951</c:v>
                </c:pt>
                <c:pt idx="5">
                  <c:v>1952</c:v>
                </c:pt>
                <c:pt idx="6">
                  <c:v>1953</c:v>
                </c:pt>
                <c:pt idx="7">
                  <c:v>1954</c:v>
                </c:pt>
                <c:pt idx="8">
                  <c:v>1955</c:v>
                </c:pt>
                <c:pt idx="9">
                  <c:v>1956</c:v>
                </c:pt>
                <c:pt idx="10">
                  <c:v>1957</c:v>
                </c:pt>
                <c:pt idx="11">
                  <c:v>1958</c:v>
                </c:pt>
                <c:pt idx="12">
                  <c:v>1959</c:v>
                </c:pt>
                <c:pt idx="13">
                  <c:v>1960</c:v>
                </c:pt>
                <c:pt idx="14">
                  <c:v>1961</c:v>
                </c:pt>
                <c:pt idx="15">
                  <c:v>1962</c:v>
                </c:pt>
                <c:pt idx="16">
                  <c:v>1963</c:v>
                </c:pt>
                <c:pt idx="17">
                  <c:v>1964</c:v>
                </c:pt>
                <c:pt idx="18">
                  <c:v>1965</c:v>
                </c:pt>
                <c:pt idx="19">
                  <c:v>1966</c:v>
                </c:pt>
                <c:pt idx="20">
                  <c:v>1967</c:v>
                </c:pt>
                <c:pt idx="21">
                  <c:v>1968</c:v>
                </c:pt>
                <c:pt idx="22">
                  <c:v>1969</c:v>
                </c:pt>
                <c:pt idx="23">
                  <c:v>1970</c:v>
                </c:pt>
                <c:pt idx="24">
                  <c:v>1971</c:v>
                </c:pt>
                <c:pt idx="25">
                  <c:v>1972</c:v>
                </c:pt>
                <c:pt idx="26">
                  <c:v>1973</c:v>
                </c:pt>
                <c:pt idx="27">
                  <c:v>1974</c:v>
                </c:pt>
                <c:pt idx="28">
                  <c:v>1975</c:v>
                </c:pt>
                <c:pt idx="29">
                  <c:v>1976</c:v>
                </c:pt>
                <c:pt idx="30">
                  <c:v>1977</c:v>
                </c:pt>
                <c:pt idx="31">
                  <c:v>1978</c:v>
                </c:pt>
                <c:pt idx="32">
                  <c:v>1979</c:v>
                </c:pt>
                <c:pt idx="33">
                  <c:v>1980</c:v>
                </c:pt>
                <c:pt idx="34">
                  <c:v>1981</c:v>
                </c:pt>
                <c:pt idx="35">
                  <c:v>1982</c:v>
                </c:pt>
                <c:pt idx="36">
                  <c:v>1983</c:v>
                </c:pt>
                <c:pt idx="37">
                  <c:v>1984</c:v>
                </c:pt>
                <c:pt idx="38">
                  <c:v>1985</c:v>
                </c:pt>
                <c:pt idx="39">
                  <c:v>1986</c:v>
                </c:pt>
                <c:pt idx="40">
                  <c:v>1987</c:v>
                </c:pt>
                <c:pt idx="41">
                  <c:v>1988</c:v>
                </c:pt>
                <c:pt idx="42">
                  <c:v>1989</c:v>
                </c:pt>
                <c:pt idx="43">
                  <c:v>1990</c:v>
                </c:pt>
                <c:pt idx="44">
                  <c:v>1991</c:v>
                </c:pt>
                <c:pt idx="45">
                  <c:v>1992</c:v>
                </c:pt>
                <c:pt idx="46">
                  <c:v>1993</c:v>
                </c:pt>
                <c:pt idx="47">
                  <c:v>1994</c:v>
                </c:pt>
                <c:pt idx="48">
                  <c:v>1995</c:v>
                </c:pt>
                <c:pt idx="49">
                  <c:v>1996</c:v>
                </c:pt>
                <c:pt idx="50">
                  <c:v>1997</c:v>
                </c:pt>
                <c:pt idx="51">
                  <c:v>1998</c:v>
                </c:pt>
                <c:pt idx="52">
                  <c:v>1999</c:v>
                </c:pt>
                <c:pt idx="53">
                  <c:v>2000</c:v>
                </c:pt>
                <c:pt idx="54">
                  <c:v>2001</c:v>
                </c:pt>
                <c:pt idx="55">
                  <c:v>2002</c:v>
                </c:pt>
                <c:pt idx="56">
                  <c:v>2003</c:v>
                </c:pt>
                <c:pt idx="57">
                  <c:v>2004</c:v>
                </c:pt>
                <c:pt idx="58">
                  <c:v>2005</c:v>
                </c:pt>
                <c:pt idx="59">
                  <c:v>2006</c:v>
                </c:pt>
                <c:pt idx="60">
                  <c:v>2007</c:v>
                </c:pt>
                <c:pt idx="61">
                  <c:v>2008</c:v>
                </c:pt>
                <c:pt idx="62">
                  <c:v>2009</c:v>
                </c:pt>
                <c:pt idx="63">
                  <c:v>2010</c:v>
                </c:pt>
                <c:pt idx="64">
                  <c:v>2011</c:v>
                </c:pt>
                <c:pt idx="65">
                  <c:v>2012</c:v>
                </c:pt>
                <c:pt idx="66">
                  <c:v>2013</c:v>
                </c:pt>
                <c:pt idx="67">
                  <c:v>2014</c:v>
                </c:pt>
                <c:pt idx="68">
                  <c:v>2015</c:v>
                </c:pt>
                <c:pt idx="69">
                  <c:v>2016</c:v>
                </c:pt>
                <c:pt idx="70">
                  <c:v>2017</c:v>
                </c:pt>
              </c:numCache>
            </c:numRef>
          </c:xVal>
          <c:yVal>
            <c:numRef>
              <c:f>Sheet3!$E$15:$E$85</c:f>
              <c:numCache>
                <c:formatCode>General</c:formatCode>
                <c:ptCount val="71"/>
                <c:pt idx="0">
                  <c:v>4</c:v>
                </c:pt>
                <c:pt idx="1">
                  <c:v>4</c:v>
                </c:pt>
                <c:pt idx="2">
                  <c:v>4</c:v>
                </c:pt>
                <c:pt idx="3">
                  <c:v>4</c:v>
                </c:pt>
                <c:pt idx="4">
                  <c:v>4</c:v>
                </c:pt>
                <c:pt idx="5">
                  <c:v>4</c:v>
                </c:pt>
                <c:pt idx="6">
                  <c:v>4</c:v>
                </c:pt>
                <c:pt idx="7">
                  <c:v>4</c:v>
                </c:pt>
                <c:pt idx="8">
                  <c:v>4</c:v>
                </c:pt>
                <c:pt idx="9">
                  <c:v>4</c:v>
                </c:pt>
                <c:pt idx="10">
                  <c:v>4</c:v>
                </c:pt>
                <c:pt idx="11">
                  <c:v>4</c:v>
                </c:pt>
                <c:pt idx="12">
                  <c:v>4</c:v>
                </c:pt>
                <c:pt idx="13">
                  <c:v>4</c:v>
                </c:pt>
                <c:pt idx="14">
                  <c:v>4</c:v>
                </c:pt>
                <c:pt idx="15">
                  <c:v>4</c:v>
                </c:pt>
                <c:pt idx="16">
                  <c:v>4</c:v>
                </c:pt>
                <c:pt idx="17">
                  <c:v>4</c:v>
                </c:pt>
                <c:pt idx="18">
                  <c:v>4</c:v>
                </c:pt>
                <c:pt idx="19">
                  <c:v>4</c:v>
                </c:pt>
                <c:pt idx="20">
                  <c:v>4</c:v>
                </c:pt>
                <c:pt idx="21">
                  <c:v>4</c:v>
                </c:pt>
                <c:pt idx="22">
                  <c:v>4</c:v>
                </c:pt>
                <c:pt idx="23">
                  <c:v>4</c:v>
                </c:pt>
                <c:pt idx="24">
                  <c:v>4</c:v>
                </c:pt>
                <c:pt idx="25">
                  <c:v>4</c:v>
                </c:pt>
                <c:pt idx="26">
                  <c:v>4</c:v>
                </c:pt>
                <c:pt idx="27">
                  <c:v>4</c:v>
                </c:pt>
                <c:pt idx="28">
                  <c:v>4</c:v>
                </c:pt>
                <c:pt idx="29">
                  <c:v>4</c:v>
                </c:pt>
              </c:numCache>
            </c:numRef>
          </c:yVal>
          <c:smooth val="1"/>
          <c:extLst>
            <c:ext xmlns:c16="http://schemas.microsoft.com/office/drawing/2014/chart" uri="{C3380CC4-5D6E-409C-BE32-E72D297353CC}">
              <c16:uniqueId val="{00000003-D8A1-447F-98A2-14A48FA1C905}"/>
            </c:ext>
          </c:extLst>
        </c:ser>
        <c:ser>
          <c:idx val="4"/>
          <c:order val="4"/>
          <c:tx>
            <c:strRef>
              <c:f>Sheet3!$F$14</c:f>
              <c:strCache>
                <c:ptCount val="1"/>
                <c:pt idx="0">
                  <c:v>&lt;5</c:v>
                </c:pt>
              </c:strCache>
            </c:strRef>
          </c:tx>
          <c:spPr>
            <a:ln w="19050" cap="rnd">
              <a:solidFill>
                <a:schemeClr val="accent5"/>
              </a:solidFill>
              <a:round/>
            </a:ln>
            <a:effectLst/>
          </c:spPr>
          <c:marker>
            <c:symbol val="none"/>
          </c:marker>
          <c:xVal>
            <c:numRef>
              <c:f>Sheet3!$A$15:$A$85</c:f>
              <c:numCache>
                <c:formatCode>General</c:formatCode>
                <c:ptCount val="71"/>
                <c:pt idx="0">
                  <c:v>1947</c:v>
                </c:pt>
                <c:pt idx="1">
                  <c:v>1948</c:v>
                </c:pt>
                <c:pt idx="2">
                  <c:v>1949</c:v>
                </c:pt>
                <c:pt idx="3">
                  <c:v>1950</c:v>
                </c:pt>
                <c:pt idx="4">
                  <c:v>1951</c:v>
                </c:pt>
                <c:pt idx="5">
                  <c:v>1952</c:v>
                </c:pt>
                <c:pt idx="6">
                  <c:v>1953</c:v>
                </c:pt>
                <c:pt idx="7">
                  <c:v>1954</c:v>
                </c:pt>
                <c:pt idx="8">
                  <c:v>1955</c:v>
                </c:pt>
                <c:pt idx="9">
                  <c:v>1956</c:v>
                </c:pt>
                <c:pt idx="10">
                  <c:v>1957</c:v>
                </c:pt>
                <c:pt idx="11">
                  <c:v>1958</c:v>
                </c:pt>
                <c:pt idx="12">
                  <c:v>1959</c:v>
                </c:pt>
                <c:pt idx="13">
                  <c:v>1960</c:v>
                </c:pt>
                <c:pt idx="14">
                  <c:v>1961</c:v>
                </c:pt>
                <c:pt idx="15">
                  <c:v>1962</c:v>
                </c:pt>
                <c:pt idx="16">
                  <c:v>1963</c:v>
                </c:pt>
                <c:pt idx="17">
                  <c:v>1964</c:v>
                </c:pt>
                <c:pt idx="18">
                  <c:v>1965</c:v>
                </c:pt>
                <c:pt idx="19">
                  <c:v>1966</c:v>
                </c:pt>
                <c:pt idx="20">
                  <c:v>1967</c:v>
                </c:pt>
                <c:pt idx="21">
                  <c:v>1968</c:v>
                </c:pt>
                <c:pt idx="22">
                  <c:v>1969</c:v>
                </c:pt>
                <c:pt idx="23">
                  <c:v>1970</c:v>
                </c:pt>
                <c:pt idx="24">
                  <c:v>1971</c:v>
                </c:pt>
                <c:pt idx="25">
                  <c:v>1972</c:v>
                </c:pt>
                <c:pt idx="26">
                  <c:v>1973</c:v>
                </c:pt>
                <c:pt idx="27">
                  <c:v>1974</c:v>
                </c:pt>
                <c:pt idx="28">
                  <c:v>1975</c:v>
                </c:pt>
                <c:pt idx="29">
                  <c:v>1976</c:v>
                </c:pt>
                <c:pt idx="30">
                  <c:v>1977</c:v>
                </c:pt>
                <c:pt idx="31">
                  <c:v>1978</c:v>
                </c:pt>
                <c:pt idx="32">
                  <c:v>1979</c:v>
                </c:pt>
                <c:pt idx="33">
                  <c:v>1980</c:v>
                </c:pt>
                <c:pt idx="34">
                  <c:v>1981</c:v>
                </c:pt>
                <c:pt idx="35">
                  <c:v>1982</c:v>
                </c:pt>
                <c:pt idx="36">
                  <c:v>1983</c:v>
                </c:pt>
                <c:pt idx="37">
                  <c:v>1984</c:v>
                </c:pt>
                <c:pt idx="38">
                  <c:v>1985</c:v>
                </c:pt>
                <c:pt idx="39">
                  <c:v>1986</c:v>
                </c:pt>
                <c:pt idx="40">
                  <c:v>1987</c:v>
                </c:pt>
                <c:pt idx="41">
                  <c:v>1988</c:v>
                </c:pt>
                <c:pt idx="42">
                  <c:v>1989</c:v>
                </c:pt>
                <c:pt idx="43">
                  <c:v>1990</c:v>
                </c:pt>
                <c:pt idx="44">
                  <c:v>1991</c:v>
                </c:pt>
                <c:pt idx="45">
                  <c:v>1992</c:v>
                </c:pt>
                <c:pt idx="46">
                  <c:v>1993</c:v>
                </c:pt>
                <c:pt idx="47">
                  <c:v>1994</c:v>
                </c:pt>
                <c:pt idx="48">
                  <c:v>1995</c:v>
                </c:pt>
                <c:pt idx="49">
                  <c:v>1996</c:v>
                </c:pt>
                <c:pt idx="50">
                  <c:v>1997</c:v>
                </c:pt>
                <c:pt idx="51">
                  <c:v>1998</c:v>
                </c:pt>
                <c:pt idx="52">
                  <c:v>1999</c:v>
                </c:pt>
                <c:pt idx="53">
                  <c:v>2000</c:v>
                </c:pt>
                <c:pt idx="54">
                  <c:v>2001</c:v>
                </c:pt>
                <c:pt idx="55">
                  <c:v>2002</c:v>
                </c:pt>
                <c:pt idx="56">
                  <c:v>2003</c:v>
                </c:pt>
                <c:pt idx="57">
                  <c:v>2004</c:v>
                </c:pt>
                <c:pt idx="58">
                  <c:v>2005</c:v>
                </c:pt>
                <c:pt idx="59">
                  <c:v>2006</c:v>
                </c:pt>
                <c:pt idx="60">
                  <c:v>2007</c:v>
                </c:pt>
                <c:pt idx="61">
                  <c:v>2008</c:v>
                </c:pt>
                <c:pt idx="62">
                  <c:v>2009</c:v>
                </c:pt>
                <c:pt idx="63">
                  <c:v>2010</c:v>
                </c:pt>
                <c:pt idx="64">
                  <c:v>2011</c:v>
                </c:pt>
                <c:pt idx="65">
                  <c:v>2012</c:v>
                </c:pt>
                <c:pt idx="66">
                  <c:v>2013</c:v>
                </c:pt>
                <c:pt idx="67">
                  <c:v>2014</c:v>
                </c:pt>
                <c:pt idx="68">
                  <c:v>2015</c:v>
                </c:pt>
                <c:pt idx="69">
                  <c:v>2016</c:v>
                </c:pt>
                <c:pt idx="70">
                  <c:v>2017</c:v>
                </c:pt>
              </c:numCache>
            </c:numRef>
          </c:xVal>
          <c:yVal>
            <c:numRef>
              <c:f>Sheet3!$F$15:$F$85</c:f>
              <c:numCache>
                <c:formatCode>General</c:formatCode>
                <c:ptCount val="71"/>
                <c:pt idx="12">
                  <c:v>5</c:v>
                </c:pt>
                <c:pt idx="13">
                  <c:v>5</c:v>
                </c:pt>
                <c:pt idx="14">
                  <c:v>5</c:v>
                </c:pt>
                <c:pt idx="15">
                  <c:v>5</c:v>
                </c:pt>
                <c:pt idx="16">
                  <c:v>5</c:v>
                </c:pt>
                <c:pt idx="17">
                  <c:v>5</c:v>
                </c:pt>
                <c:pt idx="18">
                  <c:v>5</c:v>
                </c:pt>
                <c:pt idx="19">
                  <c:v>5</c:v>
                </c:pt>
                <c:pt idx="20">
                  <c:v>5</c:v>
                </c:pt>
                <c:pt idx="21">
                  <c:v>5</c:v>
                </c:pt>
                <c:pt idx="22">
                  <c:v>5</c:v>
                </c:pt>
                <c:pt idx="23">
                  <c:v>5</c:v>
                </c:pt>
                <c:pt idx="24">
                  <c:v>5</c:v>
                </c:pt>
                <c:pt idx="25">
                  <c:v>5</c:v>
                </c:pt>
                <c:pt idx="26">
                  <c:v>5</c:v>
                </c:pt>
                <c:pt idx="27">
                  <c:v>5</c:v>
                </c:pt>
                <c:pt idx="28">
                  <c:v>5</c:v>
                </c:pt>
                <c:pt idx="29">
                  <c:v>5</c:v>
                </c:pt>
                <c:pt idx="30">
                  <c:v>5</c:v>
                </c:pt>
                <c:pt idx="31">
                  <c:v>5</c:v>
                </c:pt>
                <c:pt idx="32">
                  <c:v>5</c:v>
                </c:pt>
                <c:pt idx="33">
                  <c:v>5</c:v>
                </c:pt>
                <c:pt idx="34">
                  <c:v>5</c:v>
                </c:pt>
                <c:pt idx="35">
                  <c:v>5</c:v>
                </c:pt>
                <c:pt idx="36">
                  <c:v>5</c:v>
                </c:pt>
                <c:pt idx="37">
                  <c:v>5</c:v>
                </c:pt>
                <c:pt idx="38">
                  <c:v>5</c:v>
                </c:pt>
                <c:pt idx="39">
                  <c:v>5</c:v>
                </c:pt>
                <c:pt idx="40">
                  <c:v>5</c:v>
                </c:pt>
                <c:pt idx="41">
                  <c:v>5</c:v>
                </c:pt>
                <c:pt idx="42">
                  <c:v>5</c:v>
                </c:pt>
                <c:pt idx="43">
                  <c:v>5</c:v>
                </c:pt>
                <c:pt idx="44">
                  <c:v>5</c:v>
                </c:pt>
                <c:pt idx="45">
                  <c:v>5</c:v>
                </c:pt>
                <c:pt idx="46">
                  <c:v>5</c:v>
                </c:pt>
                <c:pt idx="47">
                  <c:v>5</c:v>
                </c:pt>
                <c:pt idx="48">
                  <c:v>5</c:v>
                </c:pt>
                <c:pt idx="49">
                  <c:v>5</c:v>
                </c:pt>
                <c:pt idx="50">
                  <c:v>5</c:v>
                </c:pt>
                <c:pt idx="51">
                  <c:v>5</c:v>
                </c:pt>
                <c:pt idx="52">
                  <c:v>5</c:v>
                </c:pt>
                <c:pt idx="53">
                  <c:v>5</c:v>
                </c:pt>
                <c:pt idx="54">
                  <c:v>5</c:v>
                </c:pt>
                <c:pt idx="55">
                  <c:v>5</c:v>
                </c:pt>
                <c:pt idx="56">
                  <c:v>5</c:v>
                </c:pt>
                <c:pt idx="57">
                  <c:v>5</c:v>
                </c:pt>
                <c:pt idx="58">
                  <c:v>5</c:v>
                </c:pt>
                <c:pt idx="59">
                  <c:v>5</c:v>
                </c:pt>
                <c:pt idx="60">
                  <c:v>5</c:v>
                </c:pt>
                <c:pt idx="61">
                  <c:v>5</c:v>
                </c:pt>
                <c:pt idx="62">
                  <c:v>5</c:v>
                </c:pt>
                <c:pt idx="63">
                  <c:v>5</c:v>
                </c:pt>
                <c:pt idx="64">
                  <c:v>5</c:v>
                </c:pt>
                <c:pt idx="65">
                  <c:v>5</c:v>
                </c:pt>
                <c:pt idx="66">
                  <c:v>5</c:v>
                </c:pt>
                <c:pt idx="67">
                  <c:v>5</c:v>
                </c:pt>
                <c:pt idx="68">
                  <c:v>5</c:v>
                </c:pt>
                <c:pt idx="69">
                  <c:v>5</c:v>
                </c:pt>
                <c:pt idx="70">
                  <c:v>5</c:v>
                </c:pt>
              </c:numCache>
            </c:numRef>
          </c:yVal>
          <c:smooth val="1"/>
          <c:extLst>
            <c:ext xmlns:c16="http://schemas.microsoft.com/office/drawing/2014/chart" uri="{C3380CC4-5D6E-409C-BE32-E72D297353CC}">
              <c16:uniqueId val="{00000004-D8A1-447F-98A2-14A48FA1C905}"/>
            </c:ext>
          </c:extLst>
        </c:ser>
        <c:ser>
          <c:idx val="15"/>
          <c:order val="5"/>
          <c:tx>
            <c:strRef>
              <c:f>Sheet3!$G$14</c:f>
              <c:strCache>
                <c:ptCount val="1"/>
                <c:pt idx="0">
                  <c:v>&gt;5</c:v>
                </c:pt>
              </c:strCache>
            </c:strRef>
          </c:tx>
          <c:spPr>
            <a:ln w="19050" cap="rnd">
              <a:solidFill>
                <a:srgbClr val="7030A0"/>
              </a:solidFill>
              <a:round/>
            </a:ln>
            <a:effectLst/>
          </c:spPr>
          <c:marker>
            <c:symbol val="none"/>
          </c:marker>
          <c:xVal>
            <c:numRef>
              <c:f>Sheet3!$A$15:$A$87</c:f>
              <c:numCache>
                <c:formatCode>General</c:formatCode>
                <c:ptCount val="73"/>
                <c:pt idx="0">
                  <c:v>1947</c:v>
                </c:pt>
                <c:pt idx="1">
                  <c:v>1948</c:v>
                </c:pt>
                <c:pt idx="2">
                  <c:v>1949</c:v>
                </c:pt>
                <c:pt idx="3">
                  <c:v>1950</c:v>
                </c:pt>
                <c:pt idx="4">
                  <c:v>1951</c:v>
                </c:pt>
                <c:pt idx="5">
                  <c:v>1952</c:v>
                </c:pt>
                <c:pt idx="6">
                  <c:v>1953</c:v>
                </c:pt>
                <c:pt idx="7">
                  <c:v>1954</c:v>
                </c:pt>
                <c:pt idx="8">
                  <c:v>1955</c:v>
                </c:pt>
                <c:pt idx="9">
                  <c:v>1956</c:v>
                </c:pt>
                <c:pt idx="10">
                  <c:v>1957</c:v>
                </c:pt>
                <c:pt idx="11">
                  <c:v>1958</c:v>
                </c:pt>
                <c:pt idx="12">
                  <c:v>1959</c:v>
                </c:pt>
                <c:pt idx="13">
                  <c:v>1960</c:v>
                </c:pt>
                <c:pt idx="14">
                  <c:v>1961</c:v>
                </c:pt>
                <c:pt idx="15">
                  <c:v>1962</c:v>
                </c:pt>
                <c:pt idx="16">
                  <c:v>1963</c:v>
                </c:pt>
                <c:pt idx="17">
                  <c:v>1964</c:v>
                </c:pt>
                <c:pt idx="18">
                  <c:v>1965</c:v>
                </c:pt>
                <c:pt idx="19">
                  <c:v>1966</c:v>
                </c:pt>
                <c:pt idx="20">
                  <c:v>1967</c:v>
                </c:pt>
                <c:pt idx="21">
                  <c:v>1968</c:v>
                </c:pt>
                <c:pt idx="22">
                  <c:v>1969</c:v>
                </c:pt>
                <c:pt idx="23">
                  <c:v>1970</c:v>
                </c:pt>
                <c:pt idx="24">
                  <c:v>1971</c:v>
                </c:pt>
                <c:pt idx="25">
                  <c:v>1972</c:v>
                </c:pt>
                <c:pt idx="26">
                  <c:v>1973</c:v>
                </c:pt>
                <c:pt idx="27">
                  <c:v>1974</c:v>
                </c:pt>
                <c:pt idx="28">
                  <c:v>1975</c:v>
                </c:pt>
                <c:pt idx="29">
                  <c:v>1976</c:v>
                </c:pt>
                <c:pt idx="30">
                  <c:v>1977</c:v>
                </c:pt>
                <c:pt idx="31">
                  <c:v>1978</c:v>
                </c:pt>
                <c:pt idx="32">
                  <c:v>1979</c:v>
                </c:pt>
                <c:pt idx="33">
                  <c:v>1980</c:v>
                </c:pt>
                <c:pt idx="34">
                  <c:v>1981</c:v>
                </c:pt>
                <c:pt idx="35">
                  <c:v>1982</c:v>
                </c:pt>
                <c:pt idx="36">
                  <c:v>1983</c:v>
                </c:pt>
                <c:pt idx="37">
                  <c:v>1984</c:v>
                </c:pt>
                <c:pt idx="38">
                  <c:v>1985</c:v>
                </c:pt>
                <c:pt idx="39">
                  <c:v>1986</c:v>
                </c:pt>
                <c:pt idx="40">
                  <c:v>1987</c:v>
                </c:pt>
                <c:pt idx="41">
                  <c:v>1988</c:v>
                </c:pt>
                <c:pt idx="42">
                  <c:v>1989</c:v>
                </c:pt>
                <c:pt idx="43">
                  <c:v>1990</c:v>
                </c:pt>
                <c:pt idx="44">
                  <c:v>1991</c:v>
                </c:pt>
                <c:pt idx="45">
                  <c:v>1992</c:v>
                </c:pt>
                <c:pt idx="46">
                  <c:v>1993</c:v>
                </c:pt>
                <c:pt idx="47">
                  <c:v>1994</c:v>
                </c:pt>
                <c:pt idx="48">
                  <c:v>1995</c:v>
                </c:pt>
                <c:pt idx="49">
                  <c:v>1996</c:v>
                </c:pt>
                <c:pt idx="50">
                  <c:v>1997</c:v>
                </c:pt>
                <c:pt idx="51">
                  <c:v>1998</c:v>
                </c:pt>
                <c:pt idx="52">
                  <c:v>1999</c:v>
                </c:pt>
                <c:pt idx="53">
                  <c:v>2000</c:v>
                </c:pt>
                <c:pt idx="54">
                  <c:v>2001</c:v>
                </c:pt>
                <c:pt idx="55">
                  <c:v>2002</c:v>
                </c:pt>
                <c:pt idx="56">
                  <c:v>2003</c:v>
                </c:pt>
                <c:pt idx="57">
                  <c:v>2004</c:v>
                </c:pt>
                <c:pt idx="58">
                  <c:v>2005</c:v>
                </c:pt>
                <c:pt idx="59">
                  <c:v>2006</c:v>
                </c:pt>
                <c:pt idx="60">
                  <c:v>2007</c:v>
                </c:pt>
                <c:pt idx="61">
                  <c:v>2008</c:v>
                </c:pt>
                <c:pt idx="62">
                  <c:v>2009</c:v>
                </c:pt>
                <c:pt idx="63">
                  <c:v>2010</c:v>
                </c:pt>
                <c:pt idx="64">
                  <c:v>2011</c:v>
                </c:pt>
                <c:pt idx="65">
                  <c:v>2012</c:v>
                </c:pt>
                <c:pt idx="66">
                  <c:v>2013</c:v>
                </c:pt>
                <c:pt idx="67">
                  <c:v>2014</c:v>
                </c:pt>
                <c:pt idx="68">
                  <c:v>2015</c:v>
                </c:pt>
                <c:pt idx="69">
                  <c:v>2016</c:v>
                </c:pt>
                <c:pt idx="70">
                  <c:v>2017</c:v>
                </c:pt>
                <c:pt idx="71">
                  <c:v>2018</c:v>
                </c:pt>
                <c:pt idx="72">
                  <c:v>2019</c:v>
                </c:pt>
              </c:numCache>
            </c:numRef>
          </c:xVal>
          <c:yVal>
            <c:numRef>
              <c:f>Sheet3!$G$15:$G$87</c:f>
              <c:numCache>
                <c:formatCode>General</c:formatCode>
                <c:ptCount val="73"/>
                <c:pt idx="12">
                  <c:v>6</c:v>
                </c:pt>
                <c:pt idx="13">
                  <c:v>6</c:v>
                </c:pt>
                <c:pt idx="14">
                  <c:v>6</c:v>
                </c:pt>
                <c:pt idx="15">
                  <c:v>6</c:v>
                </c:pt>
                <c:pt idx="16">
                  <c:v>6</c:v>
                </c:pt>
                <c:pt idx="17">
                  <c:v>6</c:v>
                </c:pt>
                <c:pt idx="18">
                  <c:v>6</c:v>
                </c:pt>
                <c:pt idx="19">
                  <c:v>6</c:v>
                </c:pt>
                <c:pt idx="20">
                  <c:v>6</c:v>
                </c:pt>
                <c:pt idx="21">
                  <c:v>6</c:v>
                </c:pt>
                <c:pt idx="22">
                  <c:v>6</c:v>
                </c:pt>
                <c:pt idx="23">
                  <c:v>6</c:v>
                </c:pt>
                <c:pt idx="24">
                  <c:v>6</c:v>
                </c:pt>
                <c:pt idx="25">
                  <c:v>6</c:v>
                </c:pt>
                <c:pt idx="26">
                  <c:v>6</c:v>
                </c:pt>
                <c:pt idx="27">
                  <c:v>6</c:v>
                </c:pt>
                <c:pt idx="28">
                  <c:v>6</c:v>
                </c:pt>
                <c:pt idx="29">
                  <c:v>6</c:v>
                </c:pt>
                <c:pt idx="30">
                  <c:v>6</c:v>
                </c:pt>
                <c:pt idx="31">
                  <c:v>6</c:v>
                </c:pt>
                <c:pt idx="32">
                  <c:v>6</c:v>
                </c:pt>
                <c:pt idx="33">
                  <c:v>6</c:v>
                </c:pt>
                <c:pt idx="34">
                  <c:v>6</c:v>
                </c:pt>
                <c:pt idx="35">
                  <c:v>6</c:v>
                </c:pt>
                <c:pt idx="36">
                  <c:v>6</c:v>
                </c:pt>
                <c:pt idx="37">
                  <c:v>6</c:v>
                </c:pt>
                <c:pt idx="38">
                  <c:v>6</c:v>
                </c:pt>
                <c:pt idx="39">
                  <c:v>6</c:v>
                </c:pt>
                <c:pt idx="40">
                  <c:v>6</c:v>
                </c:pt>
                <c:pt idx="41">
                  <c:v>6</c:v>
                </c:pt>
                <c:pt idx="42">
                  <c:v>6</c:v>
                </c:pt>
                <c:pt idx="43">
                  <c:v>6</c:v>
                </c:pt>
                <c:pt idx="44">
                  <c:v>6</c:v>
                </c:pt>
                <c:pt idx="45">
                  <c:v>6</c:v>
                </c:pt>
                <c:pt idx="46">
                  <c:v>6</c:v>
                </c:pt>
                <c:pt idx="47">
                  <c:v>6</c:v>
                </c:pt>
                <c:pt idx="48">
                  <c:v>6</c:v>
                </c:pt>
                <c:pt idx="49">
                  <c:v>6</c:v>
                </c:pt>
                <c:pt idx="50">
                  <c:v>6</c:v>
                </c:pt>
                <c:pt idx="51">
                  <c:v>6</c:v>
                </c:pt>
                <c:pt idx="52">
                  <c:v>6</c:v>
                </c:pt>
                <c:pt idx="53">
                  <c:v>6</c:v>
                </c:pt>
                <c:pt idx="54">
                  <c:v>6</c:v>
                </c:pt>
                <c:pt idx="55">
                  <c:v>6</c:v>
                </c:pt>
                <c:pt idx="56">
                  <c:v>6</c:v>
                </c:pt>
                <c:pt idx="57">
                  <c:v>6</c:v>
                </c:pt>
                <c:pt idx="58">
                  <c:v>6</c:v>
                </c:pt>
                <c:pt idx="59">
                  <c:v>6</c:v>
                </c:pt>
                <c:pt idx="60">
                  <c:v>6</c:v>
                </c:pt>
                <c:pt idx="61">
                  <c:v>6</c:v>
                </c:pt>
                <c:pt idx="62">
                  <c:v>6</c:v>
                </c:pt>
                <c:pt idx="63">
                  <c:v>6</c:v>
                </c:pt>
                <c:pt idx="64">
                  <c:v>6</c:v>
                </c:pt>
                <c:pt idx="65">
                  <c:v>6</c:v>
                </c:pt>
                <c:pt idx="66">
                  <c:v>6</c:v>
                </c:pt>
                <c:pt idx="67">
                  <c:v>6</c:v>
                </c:pt>
                <c:pt idx="68">
                  <c:v>6</c:v>
                </c:pt>
                <c:pt idx="69">
                  <c:v>6</c:v>
                </c:pt>
                <c:pt idx="70">
                  <c:v>6</c:v>
                </c:pt>
              </c:numCache>
            </c:numRef>
          </c:yVal>
          <c:smooth val="1"/>
          <c:extLst>
            <c:ext xmlns:c16="http://schemas.microsoft.com/office/drawing/2014/chart" uri="{C3380CC4-5D6E-409C-BE32-E72D297353CC}">
              <c16:uniqueId val="{00000005-D8A1-447F-98A2-14A48FA1C905}"/>
            </c:ext>
          </c:extLst>
        </c:ser>
        <c:ser>
          <c:idx val="5"/>
          <c:order val="6"/>
          <c:tx>
            <c:strRef>
              <c:f>Sheet3!$H$14</c:f>
              <c:strCache>
                <c:ptCount val="1"/>
                <c:pt idx="0">
                  <c:v>5 - 10</c:v>
                </c:pt>
              </c:strCache>
            </c:strRef>
          </c:tx>
          <c:spPr>
            <a:ln w="19050" cap="rnd">
              <a:solidFill>
                <a:schemeClr val="accent6"/>
              </a:solidFill>
              <a:round/>
            </a:ln>
            <a:effectLst/>
          </c:spPr>
          <c:marker>
            <c:symbol val="none"/>
          </c:marker>
          <c:xVal>
            <c:numRef>
              <c:f>Sheet3!$A$15:$A$85</c:f>
              <c:numCache>
                <c:formatCode>General</c:formatCode>
                <c:ptCount val="71"/>
                <c:pt idx="0">
                  <c:v>1947</c:v>
                </c:pt>
                <c:pt idx="1">
                  <c:v>1948</c:v>
                </c:pt>
                <c:pt idx="2">
                  <c:v>1949</c:v>
                </c:pt>
                <c:pt idx="3">
                  <c:v>1950</c:v>
                </c:pt>
                <c:pt idx="4">
                  <c:v>1951</c:v>
                </c:pt>
                <c:pt idx="5">
                  <c:v>1952</c:v>
                </c:pt>
                <c:pt idx="6">
                  <c:v>1953</c:v>
                </c:pt>
                <c:pt idx="7">
                  <c:v>1954</c:v>
                </c:pt>
                <c:pt idx="8">
                  <c:v>1955</c:v>
                </c:pt>
                <c:pt idx="9">
                  <c:v>1956</c:v>
                </c:pt>
                <c:pt idx="10">
                  <c:v>1957</c:v>
                </c:pt>
                <c:pt idx="11">
                  <c:v>1958</c:v>
                </c:pt>
                <c:pt idx="12">
                  <c:v>1959</c:v>
                </c:pt>
                <c:pt idx="13">
                  <c:v>1960</c:v>
                </c:pt>
                <c:pt idx="14">
                  <c:v>1961</c:v>
                </c:pt>
                <c:pt idx="15">
                  <c:v>1962</c:v>
                </c:pt>
                <c:pt idx="16">
                  <c:v>1963</c:v>
                </c:pt>
                <c:pt idx="17">
                  <c:v>1964</c:v>
                </c:pt>
                <c:pt idx="18">
                  <c:v>1965</c:v>
                </c:pt>
                <c:pt idx="19">
                  <c:v>1966</c:v>
                </c:pt>
                <c:pt idx="20">
                  <c:v>1967</c:v>
                </c:pt>
                <c:pt idx="21">
                  <c:v>1968</c:v>
                </c:pt>
                <c:pt idx="22">
                  <c:v>1969</c:v>
                </c:pt>
                <c:pt idx="23">
                  <c:v>1970</c:v>
                </c:pt>
                <c:pt idx="24">
                  <c:v>1971</c:v>
                </c:pt>
                <c:pt idx="25">
                  <c:v>1972</c:v>
                </c:pt>
                <c:pt idx="26">
                  <c:v>1973</c:v>
                </c:pt>
                <c:pt idx="27">
                  <c:v>1974</c:v>
                </c:pt>
                <c:pt idx="28">
                  <c:v>1975</c:v>
                </c:pt>
                <c:pt idx="29">
                  <c:v>1976</c:v>
                </c:pt>
                <c:pt idx="30">
                  <c:v>1977</c:v>
                </c:pt>
                <c:pt idx="31">
                  <c:v>1978</c:v>
                </c:pt>
                <c:pt idx="32">
                  <c:v>1979</c:v>
                </c:pt>
                <c:pt idx="33">
                  <c:v>1980</c:v>
                </c:pt>
                <c:pt idx="34">
                  <c:v>1981</c:v>
                </c:pt>
                <c:pt idx="35">
                  <c:v>1982</c:v>
                </c:pt>
                <c:pt idx="36">
                  <c:v>1983</c:v>
                </c:pt>
                <c:pt idx="37">
                  <c:v>1984</c:v>
                </c:pt>
                <c:pt idx="38">
                  <c:v>1985</c:v>
                </c:pt>
                <c:pt idx="39">
                  <c:v>1986</c:v>
                </c:pt>
                <c:pt idx="40">
                  <c:v>1987</c:v>
                </c:pt>
                <c:pt idx="41">
                  <c:v>1988</c:v>
                </c:pt>
                <c:pt idx="42">
                  <c:v>1989</c:v>
                </c:pt>
                <c:pt idx="43">
                  <c:v>1990</c:v>
                </c:pt>
                <c:pt idx="44">
                  <c:v>1991</c:v>
                </c:pt>
                <c:pt idx="45">
                  <c:v>1992</c:v>
                </c:pt>
                <c:pt idx="46">
                  <c:v>1993</c:v>
                </c:pt>
                <c:pt idx="47">
                  <c:v>1994</c:v>
                </c:pt>
                <c:pt idx="48">
                  <c:v>1995</c:v>
                </c:pt>
                <c:pt idx="49">
                  <c:v>1996</c:v>
                </c:pt>
                <c:pt idx="50">
                  <c:v>1997</c:v>
                </c:pt>
                <c:pt idx="51">
                  <c:v>1998</c:v>
                </c:pt>
                <c:pt idx="52">
                  <c:v>1999</c:v>
                </c:pt>
                <c:pt idx="53">
                  <c:v>2000</c:v>
                </c:pt>
                <c:pt idx="54">
                  <c:v>2001</c:v>
                </c:pt>
                <c:pt idx="55">
                  <c:v>2002</c:v>
                </c:pt>
                <c:pt idx="56">
                  <c:v>2003</c:v>
                </c:pt>
                <c:pt idx="57">
                  <c:v>2004</c:v>
                </c:pt>
                <c:pt idx="58">
                  <c:v>2005</c:v>
                </c:pt>
                <c:pt idx="59">
                  <c:v>2006</c:v>
                </c:pt>
                <c:pt idx="60">
                  <c:v>2007</c:v>
                </c:pt>
                <c:pt idx="61">
                  <c:v>2008</c:v>
                </c:pt>
                <c:pt idx="62">
                  <c:v>2009</c:v>
                </c:pt>
                <c:pt idx="63">
                  <c:v>2010</c:v>
                </c:pt>
                <c:pt idx="64">
                  <c:v>2011</c:v>
                </c:pt>
                <c:pt idx="65">
                  <c:v>2012</c:v>
                </c:pt>
                <c:pt idx="66">
                  <c:v>2013</c:v>
                </c:pt>
                <c:pt idx="67">
                  <c:v>2014</c:v>
                </c:pt>
                <c:pt idx="68">
                  <c:v>2015</c:v>
                </c:pt>
                <c:pt idx="69">
                  <c:v>2016</c:v>
                </c:pt>
                <c:pt idx="70">
                  <c:v>2017</c:v>
                </c:pt>
              </c:numCache>
            </c:numRef>
          </c:xVal>
          <c:yVal>
            <c:numRef>
              <c:f>Sheet3!$H$15:$H$85</c:f>
              <c:numCache>
                <c:formatCode>General</c:formatCode>
                <c:ptCount val="71"/>
                <c:pt idx="5">
                  <c:v>7</c:v>
                </c:pt>
                <c:pt idx="6">
                  <c:v>7</c:v>
                </c:pt>
                <c:pt idx="7">
                  <c:v>7</c:v>
                </c:pt>
                <c:pt idx="8">
                  <c:v>7</c:v>
                </c:pt>
                <c:pt idx="9">
                  <c:v>7</c:v>
                </c:pt>
                <c:pt idx="10">
                  <c:v>7</c:v>
                </c:pt>
                <c:pt idx="11">
                  <c:v>7</c:v>
                </c:pt>
                <c:pt idx="12">
                  <c:v>7</c:v>
                </c:pt>
                <c:pt idx="13">
                  <c:v>7</c:v>
                </c:pt>
                <c:pt idx="14">
                  <c:v>7</c:v>
                </c:pt>
                <c:pt idx="15">
                  <c:v>7</c:v>
                </c:pt>
                <c:pt idx="16">
                  <c:v>7</c:v>
                </c:pt>
                <c:pt idx="17">
                  <c:v>7</c:v>
                </c:pt>
                <c:pt idx="18">
                  <c:v>7</c:v>
                </c:pt>
                <c:pt idx="19">
                  <c:v>7</c:v>
                </c:pt>
                <c:pt idx="20">
                  <c:v>7</c:v>
                </c:pt>
                <c:pt idx="21">
                  <c:v>7</c:v>
                </c:pt>
                <c:pt idx="22">
                  <c:v>7</c:v>
                </c:pt>
                <c:pt idx="23">
                  <c:v>7</c:v>
                </c:pt>
                <c:pt idx="24">
                  <c:v>7</c:v>
                </c:pt>
                <c:pt idx="25">
                  <c:v>7</c:v>
                </c:pt>
                <c:pt idx="26">
                  <c:v>7</c:v>
                </c:pt>
                <c:pt idx="27">
                  <c:v>7</c:v>
                </c:pt>
                <c:pt idx="28">
                  <c:v>7</c:v>
                </c:pt>
                <c:pt idx="29">
                  <c:v>7</c:v>
                </c:pt>
                <c:pt idx="30">
                  <c:v>7</c:v>
                </c:pt>
                <c:pt idx="31">
                  <c:v>7</c:v>
                </c:pt>
                <c:pt idx="32">
                  <c:v>7</c:v>
                </c:pt>
                <c:pt idx="33">
                  <c:v>7</c:v>
                </c:pt>
                <c:pt idx="34">
                  <c:v>7</c:v>
                </c:pt>
                <c:pt idx="35">
                  <c:v>7</c:v>
                </c:pt>
                <c:pt idx="36">
                  <c:v>7</c:v>
                </c:pt>
                <c:pt idx="37">
                  <c:v>7</c:v>
                </c:pt>
                <c:pt idx="38">
                  <c:v>7</c:v>
                </c:pt>
                <c:pt idx="39">
                  <c:v>7</c:v>
                </c:pt>
                <c:pt idx="40">
                  <c:v>7</c:v>
                </c:pt>
                <c:pt idx="41">
                  <c:v>7</c:v>
                </c:pt>
                <c:pt idx="42">
                  <c:v>7</c:v>
                </c:pt>
                <c:pt idx="43">
                  <c:v>7</c:v>
                </c:pt>
                <c:pt idx="44">
                  <c:v>7</c:v>
                </c:pt>
                <c:pt idx="45">
                  <c:v>7</c:v>
                </c:pt>
                <c:pt idx="46">
                  <c:v>7</c:v>
                </c:pt>
                <c:pt idx="47">
                  <c:v>7</c:v>
                </c:pt>
                <c:pt idx="48">
                  <c:v>7</c:v>
                </c:pt>
                <c:pt idx="49">
                  <c:v>7</c:v>
                </c:pt>
                <c:pt idx="50">
                  <c:v>7</c:v>
                </c:pt>
                <c:pt idx="51">
                  <c:v>7</c:v>
                </c:pt>
                <c:pt idx="52">
                  <c:v>7</c:v>
                </c:pt>
                <c:pt idx="53">
                  <c:v>7</c:v>
                </c:pt>
                <c:pt idx="54">
                  <c:v>7</c:v>
                </c:pt>
                <c:pt idx="55">
                  <c:v>7</c:v>
                </c:pt>
                <c:pt idx="56">
                  <c:v>7</c:v>
                </c:pt>
                <c:pt idx="57">
                  <c:v>7</c:v>
                </c:pt>
                <c:pt idx="58">
                  <c:v>7</c:v>
                </c:pt>
                <c:pt idx="59">
                  <c:v>7</c:v>
                </c:pt>
                <c:pt idx="60">
                  <c:v>7</c:v>
                </c:pt>
                <c:pt idx="61">
                  <c:v>7</c:v>
                </c:pt>
                <c:pt idx="62">
                  <c:v>7</c:v>
                </c:pt>
                <c:pt idx="63">
                  <c:v>7</c:v>
                </c:pt>
                <c:pt idx="64">
                  <c:v>7</c:v>
                </c:pt>
                <c:pt idx="65">
                  <c:v>7</c:v>
                </c:pt>
                <c:pt idx="66">
                  <c:v>7</c:v>
                </c:pt>
                <c:pt idx="67">
                  <c:v>7</c:v>
                </c:pt>
                <c:pt idx="68">
                  <c:v>7</c:v>
                </c:pt>
                <c:pt idx="69">
                  <c:v>7</c:v>
                </c:pt>
                <c:pt idx="70">
                  <c:v>7</c:v>
                </c:pt>
              </c:numCache>
            </c:numRef>
          </c:yVal>
          <c:smooth val="1"/>
          <c:extLst>
            <c:ext xmlns:c16="http://schemas.microsoft.com/office/drawing/2014/chart" uri="{C3380CC4-5D6E-409C-BE32-E72D297353CC}">
              <c16:uniqueId val="{00000006-D8A1-447F-98A2-14A48FA1C905}"/>
            </c:ext>
          </c:extLst>
        </c:ser>
        <c:ser>
          <c:idx val="6"/>
          <c:order val="7"/>
          <c:tx>
            <c:strRef>
              <c:f>Sheet3!$I$14</c:f>
              <c:strCache>
                <c:ptCount val="1"/>
                <c:pt idx="0">
                  <c:v>5 - 100</c:v>
                </c:pt>
              </c:strCache>
            </c:strRef>
          </c:tx>
          <c:spPr>
            <a:ln w="19050" cap="rnd">
              <a:solidFill>
                <a:schemeClr val="accent1">
                  <a:lumMod val="60000"/>
                </a:schemeClr>
              </a:solidFill>
              <a:round/>
            </a:ln>
            <a:effectLst/>
          </c:spPr>
          <c:marker>
            <c:symbol val="none"/>
          </c:marker>
          <c:xVal>
            <c:numRef>
              <c:f>Sheet3!$A$15:$A$85</c:f>
              <c:numCache>
                <c:formatCode>General</c:formatCode>
                <c:ptCount val="71"/>
                <c:pt idx="0">
                  <c:v>1947</c:v>
                </c:pt>
                <c:pt idx="1">
                  <c:v>1948</c:v>
                </c:pt>
                <c:pt idx="2">
                  <c:v>1949</c:v>
                </c:pt>
                <c:pt idx="3">
                  <c:v>1950</c:v>
                </c:pt>
                <c:pt idx="4">
                  <c:v>1951</c:v>
                </c:pt>
                <c:pt idx="5">
                  <c:v>1952</c:v>
                </c:pt>
                <c:pt idx="6">
                  <c:v>1953</c:v>
                </c:pt>
                <c:pt idx="7">
                  <c:v>1954</c:v>
                </c:pt>
                <c:pt idx="8">
                  <c:v>1955</c:v>
                </c:pt>
                <c:pt idx="9">
                  <c:v>1956</c:v>
                </c:pt>
                <c:pt idx="10">
                  <c:v>1957</c:v>
                </c:pt>
                <c:pt idx="11">
                  <c:v>1958</c:v>
                </c:pt>
                <c:pt idx="12">
                  <c:v>1959</c:v>
                </c:pt>
                <c:pt idx="13">
                  <c:v>1960</c:v>
                </c:pt>
                <c:pt idx="14">
                  <c:v>1961</c:v>
                </c:pt>
                <c:pt idx="15">
                  <c:v>1962</c:v>
                </c:pt>
                <c:pt idx="16">
                  <c:v>1963</c:v>
                </c:pt>
                <c:pt idx="17">
                  <c:v>1964</c:v>
                </c:pt>
                <c:pt idx="18">
                  <c:v>1965</c:v>
                </c:pt>
                <c:pt idx="19">
                  <c:v>1966</c:v>
                </c:pt>
                <c:pt idx="20">
                  <c:v>1967</c:v>
                </c:pt>
                <c:pt idx="21">
                  <c:v>1968</c:v>
                </c:pt>
                <c:pt idx="22">
                  <c:v>1969</c:v>
                </c:pt>
                <c:pt idx="23">
                  <c:v>1970</c:v>
                </c:pt>
                <c:pt idx="24">
                  <c:v>1971</c:v>
                </c:pt>
                <c:pt idx="25">
                  <c:v>1972</c:v>
                </c:pt>
                <c:pt idx="26">
                  <c:v>1973</c:v>
                </c:pt>
                <c:pt idx="27">
                  <c:v>1974</c:v>
                </c:pt>
                <c:pt idx="28">
                  <c:v>1975</c:v>
                </c:pt>
                <c:pt idx="29">
                  <c:v>1976</c:v>
                </c:pt>
                <c:pt idx="30">
                  <c:v>1977</c:v>
                </c:pt>
                <c:pt idx="31">
                  <c:v>1978</c:v>
                </c:pt>
                <c:pt idx="32">
                  <c:v>1979</c:v>
                </c:pt>
                <c:pt idx="33">
                  <c:v>1980</c:v>
                </c:pt>
                <c:pt idx="34">
                  <c:v>1981</c:v>
                </c:pt>
                <c:pt idx="35">
                  <c:v>1982</c:v>
                </c:pt>
                <c:pt idx="36">
                  <c:v>1983</c:v>
                </c:pt>
                <c:pt idx="37">
                  <c:v>1984</c:v>
                </c:pt>
                <c:pt idx="38">
                  <c:v>1985</c:v>
                </c:pt>
                <c:pt idx="39">
                  <c:v>1986</c:v>
                </c:pt>
                <c:pt idx="40">
                  <c:v>1987</c:v>
                </c:pt>
                <c:pt idx="41">
                  <c:v>1988</c:v>
                </c:pt>
                <c:pt idx="42">
                  <c:v>1989</c:v>
                </c:pt>
                <c:pt idx="43">
                  <c:v>1990</c:v>
                </c:pt>
                <c:pt idx="44">
                  <c:v>1991</c:v>
                </c:pt>
                <c:pt idx="45">
                  <c:v>1992</c:v>
                </c:pt>
                <c:pt idx="46">
                  <c:v>1993</c:v>
                </c:pt>
                <c:pt idx="47">
                  <c:v>1994</c:v>
                </c:pt>
                <c:pt idx="48">
                  <c:v>1995</c:v>
                </c:pt>
                <c:pt idx="49">
                  <c:v>1996</c:v>
                </c:pt>
                <c:pt idx="50">
                  <c:v>1997</c:v>
                </c:pt>
                <c:pt idx="51">
                  <c:v>1998</c:v>
                </c:pt>
                <c:pt idx="52">
                  <c:v>1999</c:v>
                </c:pt>
                <c:pt idx="53">
                  <c:v>2000</c:v>
                </c:pt>
                <c:pt idx="54">
                  <c:v>2001</c:v>
                </c:pt>
                <c:pt idx="55">
                  <c:v>2002</c:v>
                </c:pt>
                <c:pt idx="56">
                  <c:v>2003</c:v>
                </c:pt>
                <c:pt idx="57">
                  <c:v>2004</c:v>
                </c:pt>
                <c:pt idx="58">
                  <c:v>2005</c:v>
                </c:pt>
                <c:pt idx="59">
                  <c:v>2006</c:v>
                </c:pt>
                <c:pt idx="60">
                  <c:v>2007</c:v>
                </c:pt>
                <c:pt idx="61">
                  <c:v>2008</c:v>
                </c:pt>
                <c:pt idx="62">
                  <c:v>2009</c:v>
                </c:pt>
                <c:pt idx="63">
                  <c:v>2010</c:v>
                </c:pt>
                <c:pt idx="64">
                  <c:v>2011</c:v>
                </c:pt>
                <c:pt idx="65">
                  <c:v>2012</c:v>
                </c:pt>
                <c:pt idx="66">
                  <c:v>2013</c:v>
                </c:pt>
                <c:pt idx="67">
                  <c:v>2014</c:v>
                </c:pt>
                <c:pt idx="68">
                  <c:v>2015</c:v>
                </c:pt>
                <c:pt idx="69">
                  <c:v>2016</c:v>
                </c:pt>
                <c:pt idx="70">
                  <c:v>2017</c:v>
                </c:pt>
              </c:numCache>
            </c:numRef>
          </c:xVal>
          <c:yVal>
            <c:numRef>
              <c:f>Sheet3!$I$15:$I$85</c:f>
              <c:numCache>
                <c:formatCode>General</c:formatCode>
                <c:ptCount val="71"/>
                <c:pt idx="0">
                  <c:v>8</c:v>
                </c:pt>
                <c:pt idx="1">
                  <c:v>8</c:v>
                </c:pt>
                <c:pt idx="2">
                  <c:v>8</c:v>
                </c:pt>
                <c:pt idx="3">
                  <c:v>8</c:v>
                </c:pt>
                <c:pt idx="4">
                  <c:v>8</c:v>
                </c:pt>
              </c:numCache>
            </c:numRef>
          </c:yVal>
          <c:smooth val="1"/>
          <c:extLst>
            <c:ext xmlns:c16="http://schemas.microsoft.com/office/drawing/2014/chart" uri="{C3380CC4-5D6E-409C-BE32-E72D297353CC}">
              <c16:uniqueId val="{00000007-D8A1-447F-98A2-14A48FA1C905}"/>
            </c:ext>
          </c:extLst>
        </c:ser>
        <c:ser>
          <c:idx val="7"/>
          <c:order val="8"/>
          <c:tx>
            <c:strRef>
              <c:f>Sheet3!$J$14</c:f>
              <c:strCache>
                <c:ptCount val="1"/>
                <c:pt idx="0">
                  <c:v>10 - 50</c:v>
                </c:pt>
              </c:strCache>
            </c:strRef>
          </c:tx>
          <c:spPr>
            <a:ln w="19050" cap="rnd">
              <a:solidFill>
                <a:schemeClr val="accent2">
                  <a:lumMod val="60000"/>
                </a:schemeClr>
              </a:solidFill>
              <a:round/>
            </a:ln>
            <a:effectLst/>
          </c:spPr>
          <c:marker>
            <c:symbol val="none"/>
          </c:marker>
          <c:xVal>
            <c:numRef>
              <c:f>Sheet3!$A$15:$A$85</c:f>
              <c:numCache>
                <c:formatCode>General</c:formatCode>
                <c:ptCount val="71"/>
                <c:pt idx="0">
                  <c:v>1947</c:v>
                </c:pt>
                <c:pt idx="1">
                  <c:v>1948</c:v>
                </c:pt>
                <c:pt idx="2">
                  <c:v>1949</c:v>
                </c:pt>
                <c:pt idx="3">
                  <c:v>1950</c:v>
                </c:pt>
                <c:pt idx="4">
                  <c:v>1951</c:v>
                </c:pt>
                <c:pt idx="5">
                  <c:v>1952</c:v>
                </c:pt>
                <c:pt idx="6">
                  <c:v>1953</c:v>
                </c:pt>
                <c:pt idx="7">
                  <c:v>1954</c:v>
                </c:pt>
                <c:pt idx="8">
                  <c:v>1955</c:v>
                </c:pt>
                <c:pt idx="9">
                  <c:v>1956</c:v>
                </c:pt>
                <c:pt idx="10">
                  <c:v>1957</c:v>
                </c:pt>
                <c:pt idx="11">
                  <c:v>1958</c:v>
                </c:pt>
                <c:pt idx="12">
                  <c:v>1959</c:v>
                </c:pt>
                <c:pt idx="13">
                  <c:v>1960</c:v>
                </c:pt>
                <c:pt idx="14">
                  <c:v>1961</c:v>
                </c:pt>
                <c:pt idx="15">
                  <c:v>1962</c:v>
                </c:pt>
                <c:pt idx="16">
                  <c:v>1963</c:v>
                </c:pt>
                <c:pt idx="17">
                  <c:v>1964</c:v>
                </c:pt>
                <c:pt idx="18">
                  <c:v>1965</c:v>
                </c:pt>
                <c:pt idx="19">
                  <c:v>1966</c:v>
                </c:pt>
                <c:pt idx="20">
                  <c:v>1967</c:v>
                </c:pt>
                <c:pt idx="21">
                  <c:v>1968</c:v>
                </c:pt>
                <c:pt idx="22">
                  <c:v>1969</c:v>
                </c:pt>
                <c:pt idx="23">
                  <c:v>1970</c:v>
                </c:pt>
                <c:pt idx="24">
                  <c:v>1971</c:v>
                </c:pt>
                <c:pt idx="25">
                  <c:v>1972</c:v>
                </c:pt>
                <c:pt idx="26">
                  <c:v>1973</c:v>
                </c:pt>
                <c:pt idx="27">
                  <c:v>1974</c:v>
                </c:pt>
                <c:pt idx="28">
                  <c:v>1975</c:v>
                </c:pt>
                <c:pt idx="29">
                  <c:v>1976</c:v>
                </c:pt>
                <c:pt idx="30">
                  <c:v>1977</c:v>
                </c:pt>
                <c:pt idx="31">
                  <c:v>1978</c:v>
                </c:pt>
                <c:pt idx="32">
                  <c:v>1979</c:v>
                </c:pt>
                <c:pt idx="33">
                  <c:v>1980</c:v>
                </c:pt>
                <c:pt idx="34">
                  <c:v>1981</c:v>
                </c:pt>
                <c:pt idx="35">
                  <c:v>1982</c:v>
                </c:pt>
                <c:pt idx="36">
                  <c:v>1983</c:v>
                </c:pt>
                <c:pt idx="37">
                  <c:v>1984</c:v>
                </c:pt>
                <c:pt idx="38">
                  <c:v>1985</c:v>
                </c:pt>
                <c:pt idx="39">
                  <c:v>1986</c:v>
                </c:pt>
                <c:pt idx="40">
                  <c:v>1987</c:v>
                </c:pt>
                <c:pt idx="41">
                  <c:v>1988</c:v>
                </c:pt>
                <c:pt idx="42">
                  <c:v>1989</c:v>
                </c:pt>
                <c:pt idx="43">
                  <c:v>1990</c:v>
                </c:pt>
                <c:pt idx="44">
                  <c:v>1991</c:v>
                </c:pt>
                <c:pt idx="45">
                  <c:v>1992</c:v>
                </c:pt>
                <c:pt idx="46">
                  <c:v>1993</c:v>
                </c:pt>
                <c:pt idx="47">
                  <c:v>1994</c:v>
                </c:pt>
                <c:pt idx="48">
                  <c:v>1995</c:v>
                </c:pt>
                <c:pt idx="49">
                  <c:v>1996</c:v>
                </c:pt>
                <c:pt idx="50">
                  <c:v>1997</c:v>
                </c:pt>
                <c:pt idx="51">
                  <c:v>1998</c:v>
                </c:pt>
                <c:pt idx="52">
                  <c:v>1999</c:v>
                </c:pt>
                <c:pt idx="53">
                  <c:v>2000</c:v>
                </c:pt>
                <c:pt idx="54">
                  <c:v>2001</c:v>
                </c:pt>
                <c:pt idx="55">
                  <c:v>2002</c:v>
                </c:pt>
                <c:pt idx="56">
                  <c:v>2003</c:v>
                </c:pt>
                <c:pt idx="57">
                  <c:v>2004</c:v>
                </c:pt>
                <c:pt idx="58">
                  <c:v>2005</c:v>
                </c:pt>
                <c:pt idx="59">
                  <c:v>2006</c:v>
                </c:pt>
                <c:pt idx="60">
                  <c:v>2007</c:v>
                </c:pt>
                <c:pt idx="61">
                  <c:v>2008</c:v>
                </c:pt>
                <c:pt idx="62">
                  <c:v>2009</c:v>
                </c:pt>
                <c:pt idx="63">
                  <c:v>2010</c:v>
                </c:pt>
                <c:pt idx="64">
                  <c:v>2011</c:v>
                </c:pt>
                <c:pt idx="65">
                  <c:v>2012</c:v>
                </c:pt>
                <c:pt idx="66">
                  <c:v>2013</c:v>
                </c:pt>
                <c:pt idx="67">
                  <c:v>2014</c:v>
                </c:pt>
                <c:pt idx="68">
                  <c:v>2015</c:v>
                </c:pt>
                <c:pt idx="69">
                  <c:v>2016</c:v>
                </c:pt>
                <c:pt idx="70">
                  <c:v>2017</c:v>
                </c:pt>
              </c:numCache>
            </c:numRef>
          </c:xVal>
          <c:yVal>
            <c:numRef>
              <c:f>Sheet3!$J$15:$J$85</c:f>
              <c:numCache>
                <c:formatCode>General</c:formatCode>
                <c:ptCount val="71"/>
                <c:pt idx="5">
                  <c:v>9</c:v>
                </c:pt>
                <c:pt idx="6">
                  <c:v>9</c:v>
                </c:pt>
                <c:pt idx="7">
                  <c:v>9</c:v>
                </c:pt>
                <c:pt idx="8">
                  <c:v>9</c:v>
                </c:pt>
                <c:pt idx="9">
                  <c:v>9</c:v>
                </c:pt>
                <c:pt idx="10">
                  <c:v>9</c:v>
                </c:pt>
                <c:pt idx="11">
                  <c:v>9</c:v>
                </c:pt>
              </c:numCache>
            </c:numRef>
          </c:yVal>
          <c:smooth val="1"/>
          <c:extLst>
            <c:ext xmlns:c16="http://schemas.microsoft.com/office/drawing/2014/chart" uri="{C3380CC4-5D6E-409C-BE32-E72D297353CC}">
              <c16:uniqueId val="{00000008-D8A1-447F-98A2-14A48FA1C905}"/>
            </c:ext>
          </c:extLst>
        </c:ser>
        <c:ser>
          <c:idx val="8"/>
          <c:order val="9"/>
          <c:tx>
            <c:strRef>
              <c:f>Sheet3!$K$14</c:f>
              <c:strCache>
                <c:ptCount val="1"/>
                <c:pt idx="0">
                  <c:v>10 - 25</c:v>
                </c:pt>
              </c:strCache>
            </c:strRef>
          </c:tx>
          <c:spPr>
            <a:ln w="19050" cap="rnd">
              <a:solidFill>
                <a:schemeClr val="accent3">
                  <a:lumMod val="60000"/>
                </a:schemeClr>
              </a:solidFill>
              <a:round/>
            </a:ln>
            <a:effectLst/>
          </c:spPr>
          <c:marker>
            <c:symbol val="none"/>
          </c:marker>
          <c:xVal>
            <c:numRef>
              <c:f>Sheet3!$A$15:$A$85</c:f>
              <c:numCache>
                <c:formatCode>General</c:formatCode>
                <c:ptCount val="71"/>
                <c:pt idx="0">
                  <c:v>1947</c:v>
                </c:pt>
                <c:pt idx="1">
                  <c:v>1948</c:v>
                </c:pt>
                <c:pt idx="2">
                  <c:v>1949</c:v>
                </c:pt>
                <c:pt idx="3">
                  <c:v>1950</c:v>
                </c:pt>
                <c:pt idx="4">
                  <c:v>1951</c:v>
                </c:pt>
                <c:pt idx="5">
                  <c:v>1952</c:v>
                </c:pt>
                <c:pt idx="6">
                  <c:v>1953</c:v>
                </c:pt>
                <c:pt idx="7">
                  <c:v>1954</c:v>
                </c:pt>
                <c:pt idx="8">
                  <c:v>1955</c:v>
                </c:pt>
                <c:pt idx="9">
                  <c:v>1956</c:v>
                </c:pt>
                <c:pt idx="10">
                  <c:v>1957</c:v>
                </c:pt>
                <c:pt idx="11">
                  <c:v>1958</c:v>
                </c:pt>
                <c:pt idx="12">
                  <c:v>1959</c:v>
                </c:pt>
                <c:pt idx="13">
                  <c:v>1960</c:v>
                </c:pt>
                <c:pt idx="14">
                  <c:v>1961</c:v>
                </c:pt>
                <c:pt idx="15">
                  <c:v>1962</c:v>
                </c:pt>
                <c:pt idx="16">
                  <c:v>1963</c:v>
                </c:pt>
                <c:pt idx="17">
                  <c:v>1964</c:v>
                </c:pt>
                <c:pt idx="18">
                  <c:v>1965</c:v>
                </c:pt>
                <c:pt idx="19">
                  <c:v>1966</c:v>
                </c:pt>
                <c:pt idx="20">
                  <c:v>1967</c:v>
                </c:pt>
                <c:pt idx="21">
                  <c:v>1968</c:v>
                </c:pt>
                <c:pt idx="22">
                  <c:v>1969</c:v>
                </c:pt>
                <c:pt idx="23">
                  <c:v>1970</c:v>
                </c:pt>
                <c:pt idx="24">
                  <c:v>1971</c:v>
                </c:pt>
                <c:pt idx="25">
                  <c:v>1972</c:v>
                </c:pt>
                <c:pt idx="26">
                  <c:v>1973</c:v>
                </c:pt>
                <c:pt idx="27">
                  <c:v>1974</c:v>
                </c:pt>
                <c:pt idx="28">
                  <c:v>1975</c:v>
                </c:pt>
                <c:pt idx="29">
                  <c:v>1976</c:v>
                </c:pt>
                <c:pt idx="30">
                  <c:v>1977</c:v>
                </c:pt>
                <c:pt idx="31">
                  <c:v>1978</c:v>
                </c:pt>
                <c:pt idx="32">
                  <c:v>1979</c:v>
                </c:pt>
                <c:pt idx="33">
                  <c:v>1980</c:v>
                </c:pt>
                <c:pt idx="34">
                  <c:v>1981</c:v>
                </c:pt>
                <c:pt idx="35">
                  <c:v>1982</c:v>
                </c:pt>
                <c:pt idx="36">
                  <c:v>1983</c:v>
                </c:pt>
                <c:pt idx="37">
                  <c:v>1984</c:v>
                </c:pt>
                <c:pt idx="38">
                  <c:v>1985</c:v>
                </c:pt>
                <c:pt idx="39">
                  <c:v>1986</c:v>
                </c:pt>
                <c:pt idx="40">
                  <c:v>1987</c:v>
                </c:pt>
                <c:pt idx="41">
                  <c:v>1988</c:v>
                </c:pt>
                <c:pt idx="42">
                  <c:v>1989</c:v>
                </c:pt>
                <c:pt idx="43">
                  <c:v>1990</c:v>
                </c:pt>
                <c:pt idx="44">
                  <c:v>1991</c:v>
                </c:pt>
                <c:pt idx="45">
                  <c:v>1992</c:v>
                </c:pt>
                <c:pt idx="46">
                  <c:v>1993</c:v>
                </c:pt>
                <c:pt idx="47">
                  <c:v>1994</c:v>
                </c:pt>
                <c:pt idx="48">
                  <c:v>1995</c:v>
                </c:pt>
                <c:pt idx="49">
                  <c:v>1996</c:v>
                </c:pt>
                <c:pt idx="50">
                  <c:v>1997</c:v>
                </c:pt>
                <c:pt idx="51">
                  <c:v>1998</c:v>
                </c:pt>
                <c:pt idx="52">
                  <c:v>1999</c:v>
                </c:pt>
                <c:pt idx="53">
                  <c:v>2000</c:v>
                </c:pt>
                <c:pt idx="54">
                  <c:v>2001</c:v>
                </c:pt>
                <c:pt idx="55">
                  <c:v>2002</c:v>
                </c:pt>
                <c:pt idx="56">
                  <c:v>2003</c:v>
                </c:pt>
                <c:pt idx="57">
                  <c:v>2004</c:v>
                </c:pt>
                <c:pt idx="58">
                  <c:v>2005</c:v>
                </c:pt>
                <c:pt idx="59">
                  <c:v>2006</c:v>
                </c:pt>
                <c:pt idx="60">
                  <c:v>2007</c:v>
                </c:pt>
                <c:pt idx="61">
                  <c:v>2008</c:v>
                </c:pt>
                <c:pt idx="62">
                  <c:v>2009</c:v>
                </c:pt>
                <c:pt idx="63">
                  <c:v>2010</c:v>
                </c:pt>
                <c:pt idx="64">
                  <c:v>2011</c:v>
                </c:pt>
                <c:pt idx="65">
                  <c:v>2012</c:v>
                </c:pt>
                <c:pt idx="66">
                  <c:v>2013</c:v>
                </c:pt>
                <c:pt idx="67">
                  <c:v>2014</c:v>
                </c:pt>
                <c:pt idx="68">
                  <c:v>2015</c:v>
                </c:pt>
                <c:pt idx="69">
                  <c:v>2016</c:v>
                </c:pt>
                <c:pt idx="70">
                  <c:v>2017</c:v>
                </c:pt>
              </c:numCache>
            </c:numRef>
          </c:xVal>
          <c:yVal>
            <c:numRef>
              <c:f>Sheet3!$K$15:$K$85</c:f>
              <c:numCache>
                <c:formatCode>General</c:formatCode>
                <c:ptCount val="71"/>
                <c:pt idx="12">
                  <c:v>10</c:v>
                </c:pt>
                <c:pt idx="13">
                  <c:v>10</c:v>
                </c:pt>
                <c:pt idx="14">
                  <c:v>10</c:v>
                </c:pt>
                <c:pt idx="15">
                  <c:v>10</c:v>
                </c:pt>
                <c:pt idx="16">
                  <c:v>10</c:v>
                </c:pt>
                <c:pt idx="17">
                  <c:v>10</c:v>
                </c:pt>
                <c:pt idx="18">
                  <c:v>10</c:v>
                </c:pt>
                <c:pt idx="19">
                  <c:v>10</c:v>
                </c:pt>
                <c:pt idx="20">
                  <c:v>10</c:v>
                </c:pt>
                <c:pt idx="21">
                  <c:v>10</c:v>
                </c:pt>
                <c:pt idx="22">
                  <c:v>10</c:v>
                </c:pt>
                <c:pt idx="23">
                  <c:v>10</c:v>
                </c:pt>
                <c:pt idx="24">
                  <c:v>10</c:v>
                </c:pt>
                <c:pt idx="25">
                  <c:v>10</c:v>
                </c:pt>
                <c:pt idx="26">
                  <c:v>10</c:v>
                </c:pt>
                <c:pt idx="27">
                  <c:v>10</c:v>
                </c:pt>
                <c:pt idx="28">
                  <c:v>10</c:v>
                </c:pt>
                <c:pt idx="29">
                  <c:v>10</c:v>
                </c:pt>
                <c:pt idx="30">
                  <c:v>10</c:v>
                </c:pt>
                <c:pt idx="31">
                  <c:v>10</c:v>
                </c:pt>
                <c:pt idx="32">
                  <c:v>10</c:v>
                </c:pt>
                <c:pt idx="33">
                  <c:v>10</c:v>
                </c:pt>
                <c:pt idx="34">
                  <c:v>10</c:v>
                </c:pt>
                <c:pt idx="35">
                  <c:v>10</c:v>
                </c:pt>
                <c:pt idx="36">
                  <c:v>10</c:v>
                </c:pt>
                <c:pt idx="37">
                  <c:v>10</c:v>
                </c:pt>
                <c:pt idx="38">
                  <c:v>10</c:v>
                </c:pt>
                <c:pt idx="39">
                  <c:v>10</c:v>
                </c:pt>
                <c:pt idx="40">
                  <c:v>10</c:v>
                </c:pt>
                <c:pt idx="41">
                  <c:v>10</c:v>
                </c:pt>
                <c:pt idx="42">
                  <c:v>10</c:v>
                </c:pt>
                <c:pt idx="43">
                  <c:v>10</c:v>
                </c:pt>
                <c:pt idx="44">
                  <c:v>10</c:v>
                </c:pt>
                <c:pt idx="45">
                  <c:v>10</c:v>
                </c:pt>
                <c:pt idx="46">
                  <c:v>10</c:v>
                </c:pt>
                <c:pt idx="47">
                  <c:v>10</c:v>
                </c:pt>
                <c:pt idx="48">
                  <c:v>10</c:v>
                </c:pt>
                <c:pt idx="49">
                  <c:v>10</c:v>
                </c:pt>
                <c:pt idx="50">
                  <c:v>10</c:v>
                </c:pt>
                <c:pt idx="51">
                  <c:v>10</c:v>
                </c:pt>
                <c:pt idx="52">
                  <c:v>10</c:v>
                </c:pt>
                <c:pt idx="53">
                  <c:v>10</c:v>
                </c:pt>
                <c:pt idx="54">
                  <c:v>10</c:v>
                </c:pt>
                <c:pt idx="55">
                  <c:v>10</c:v>
                </c:pt>
                <c:pt idx="56">
                  <c:v>10</c:v>
                </c:pt>
                <c:pt idx="57">
                  <c:v>10</c:v>
                </c:pt>
                <c:pt idx="58">
                  <c:v>10</c:v>
                </c:pt>
                <c:pt idx="59">
                  <c:v>10</c:v>
                </c:pt>
                <c:pt idx="60">
                  <c:v>10</c:v>
                </c:pt>
                <c:pt idx="61">
                  <c:v>10</c:v>
                </c:pt>
                <c:pt idx="62">
                  <c:v>10</c:v>
                </c:pt>
                <c:pt idx="63">
                  <c:v>10</c:v>
                </c:pt>
                <c:pt idx="64">
                  <c:v>10</c:v>
                </c:pt>
                <c:pt idx="65">
                  <c:v>10</c:v>
                </c:pt>
                <c:pt idx="66">
                  <c:v>10</c:v>
                </c:pt>
                <c:pt idx="67">
                  <c:v>10</c:v>
                </c:pt>
                <c:pt idx="68">
                  <c:v>10</c:v>
                </c:pt>
                <c:pt idx="69">
                  <c:v>10</c:v>
                </c:pt>
                <c:pt idx="70">
                  <c:v>10</c:v>
                </c:pt>
              </c:numCache>
            </c:numRef>
          </c:yVal>
          <c:smooth val="1"/>
          <c:extLst>
            <c:ext xmlns:c16="http://schemas.microsoft.com/office/drawing/2014/chart" uri="{C3380CC4-5D6E-409C-BE32-E72D297353CC}">
              <c16:uniqueId val="{00000009-D8A1-447F-98A2-14A48FA1C905}"/>
            </c:ext>
          </c:extLst>
        </c:ser>
        <c:ser>
          <c:idx val="9"/>
          <c:order val="10"/>
          <c:tx>
            <c:strRef>
              <c:f>Sheet3!$L$14</c:f>
              <c:strCache>
                <c:ptCount val="1"/>
                <c:pt idx="0">
                  <c:v>25 - 50</c:v>
                </c:pt>
              </c:strCache>
            </c:strRef>
          </c:tx>
          <c:spPr>
            <a:ln w="19050" cap="rnd">
              <a:solidFill>
                <a:schemeClr val="accent4">
                  <a:lumMod val="60000"/>
                </a:schemeClr>
              </a:solidFill>
              <a:round/>
            </a:ln>
            <a:effectLst/>
          </c:spPr>
          <c:marker>
            <c:symbol val="none"/>
          </c:marker>
          <c:xVal>
            <c:numRef>
              <c:f>Sheet3!$A$15:$A$85</c:f>
              <c:numCache>
                <c:formatCode>General</c:formatCode>
                <c:ptCount val="71"/>
                <c:pt idx="0">
                  <c:v>1947</c:v>
                </c:pt>
                <c:pt idx="1">
                  <c:v>1948</c:v>
                </c:pt>
                <c:pt idx="2">
                  <c:v>1949</c:v>
                </c:pt>
                <c:pt idx="3">
                  <c:v>1950</c:v>
                </c:pt>
                <c:pt idx="4">
                  <c:v>1951</c:v>
                </c:pt>
                <c:pt idx="5">
                  <c:v>1952</c:v>
                </c:pt>
                <c:pt idx="6">
                  <c:v>1953</c:v>
                </c:pt>
                <c:pt idx="7">
                  <c:v>1954</c:v>
                </c:pt>
                <c:pt idx="8">
                  <c:v>1955</c:v>
                </c:pt>
                <c:pt idx="9">
                  <c:v>1956</c:v>
                </c:pt>
                <c:pt idx="10">
                  <c:v>1957</c:v>
                </c:pt>
                <c:pt idx="11">
                  <c:v>1958</c:v>
                </c:pt>
                <c:pt idx="12">
                  <c:v>1959</c:v>
                </c:pt>
                <c:pt idx="13">
                  <c:v>1960</c:v>
                </c:pt>
                <c:pt idx="14">
                  <c:v>1961</c:v>
                </c:pt>
                <c:pt idx="15">
                  <c:v>1962</c:v>
                </c:pt>
                <c:pt idx="16">
                  <c:v>1963</c:v>
                </c:pt>
                <c:pt idx="17">
                  <c:v>1964</c:v>
                </c:pt>
                <c:pt idx="18">
                  <c:v>1965</c:v>
                </c:pt>
                <c:pt idx="19">
                  <c:v>1966</c:v>
                </c:pt>
                <c:pt idx="20">
                  <c:v>1967</c:v>
                </c:pt>
                <c:pt idx="21">
                  <c:v>1968</c:v>
                </c:pt>
                <c:pt idx="22">
                  <c:v>1969</c:v>
                </c:pt>
                <c:pt idx="23">
                  <c:v>1970</c:v>
                </c:pt>
                <c:pt idx="24">
                  <c:v>1971</c:v>
                </c:pt>
                <c:pt idx="25">
                  <c:v>1972</c:v>
                </c:pt>
                <c:pt idx="26">
                  <c:v>1973</c:v>
                </c:pt>
                <c:pt idx="27">
                  <c:v>1974</c:v>
                </c:pt>
                <c:pt idx="28">
                  <c:v>1975</c:v>
                </c:pt>
                <c:pt idx="29">
                  <c:v>1976</c:v>
                </c:pt>
                <c:pt idx="30">
                  <c:v>1977</c:v>
                </c:pt>
                <c:pt idx="31">
                  <c:v>1978</c:v>
                </c:pt>
                <c:pt idx="32">
                  <c:v>1979</c:v>
                </c:pt>
                <c:pt idx="33">
                  <c:v>1980</c:v>
                </c:pt>
                <c:pt idx="34">
                  <c:v>1981</c:v>
                </c:pt>
                <c:pt idx="35">
                  <c:v>1982</c:v>
                </c:pt>
                <c:pt idx="36">
                  <c:v>1983</c:v>
                </c:pt>
                <c:pt idx="37">
                  <c:v>1984</c:v>
                </c:pt>
                <c:pt idx="38">
                  <c:v>1985</c:v>
                </c:pt>
                <c:pt idx="39">
                  <c:v>1986</c:v>
                </c:pt>
                <c:pt idx="40">
                  <c:v>1987</c:v>
                </c:pt>
                <c:pt idx="41">
                  <c:v>1988</c:v>
                </c:pt>
                <c:pt idx="42">
                  <c:v>1989</c:v>
                </c:pt>
                <c:pt idx="43">
                  <c:v>1990</c:v>
                </c:pt>
                <c:pt idx="44">
                  <c:v>1991</c:v>
                </c:pt>
                <c:pt idx="45">
                  <c:v>1992</c:v>
                </c:pt>
                <c:pt idx="46">
                  <c:v>1993</c:v>
                </c:pt>
                <c:pt idx="47">
                  <c:v>1994</c:v>
                </c:pt>
                <c:pt idx="48">
                  <c:v>1995</c:v>
                </c:pt>
                <c:pt idx="49">
                  <c:v>1996</c:v>
                </c:pt>
                <c:pt idx="50">
                  <c:v>1997</c:v>
                </c:pt>
                <c:pt idx="51">
                  <c:v>1998</c:v>
                </c:pt>
                <c:pt idx="52">
                  <c:v>1999</c:v>
                </c:pt>
                <c:pt idx="53">
                  <c:v>2000</c:v>
                </c:pt>
                <c:pt idx="54">
                  <c:v>2001</c:v>
                </c:pt>
                <c:pt idx="55">
                  <c:v>2002</c:v>
                </c:pt>
                <c:pt idx="56">
                  <c:v>2003</c:v>
                </c:pt>
                <c:pt idx="57">
                  <c:v>2004</c:v>
                </c:pt>
                <c:pt idx="58">
                  <c:v>2005</c:v>
                </c:pt>
                <c:pt idx="59">
                  <c:v>2006</c:v>
                </c:pt>
                <c:pt idx="60">
                  <c:v>2007</c:v>
                </c:pt>
                <c:pt idx="61">
                  <c:v>2008</c:v>
                </c:pt>
                <c:pt idx="62">
                  <c:v>2009</c:v>
                </c:pt>
                <c:pt idx="63">
                  <c:v>2010</c:v>
                </c:pt>
                <c:pt idx="64">
                  <c:v>2011</c:v>
                </c:pt>
                <c:pt idx="65">
                  <c:v>2012</c:v>
                </c:pt>
                <c:pt idx="66">
                  <c:v>2013</c:v>
                </c:pt>
                <c:pt idx="67">
                  <c:v>2014</c:v>
                </c:pt>
                <c:pt idx="68">
                  <c:v>2015</c:v>
                </c:pt>
                <c:pt idx="69">
                  <c:v>2016</c:v>
                </c:pt>
                <c:pt idx="70">
                  <c:v>2017</c:v>
                </c:pt>
              </c:numCache>
            </c:numRef>
          </c:xVal>
          <c:yVal>
            <c:numRef>
              <c:f>Sheet3!$L$15:$L$85</c:f>
              <c:numCache>
                <c:formatCode>General</c:formatCode>
                <c:ptCount val="71"/>
                <c:pt idx="12">
                  <c:v>11</c:v>
                </c:pt>
                <c:pt idx="13">
                  <c:v>11</c:v>
                </c:pt>
                <c:pt idx="14">
                  <c:v>11</c:v>
                </c:pt>
                <c:pt idx="15">
                  <c:v>11</c:v>
                </c:pt>
                <c:pt idx="16">
                  <c:v>11</c:v>
                </c:pt>
                <c:pt idx="17">
                  <c:v>11</c:v>
                </c:pt>
                <c:pt idx="18">
                  <c:v>11</c:v>
                </c:pt>
                <c:pt idx="19">
                  <c:v>11</c:v>
                </c:pt>
                <c:pt idx="20">
                  <c:v>11</c:v>
                </c:pt>
                <c:pt idx="21">
                  <c:v>11</c:v>
                </c:pt>
                <c:pt idx="22">
                  <c:v>11</c:v>
                </c:pt>
                <c:pt idx="23">
                  <c:v>11</c:v>
                </c:pt>
                <c:pt idx="24">
                  <c:v>11</c:v>
                </c:pt>
                <c:pt idx="25">
                  <c:v>11</c:v>
                </c:pt>
                <c:pt idx="26">
                  <c:v>11</c:v>
                </c:pt>
                <c:pt idx="27">
                  <c:v>11</c:v>
                </c:pt>
                <c:pt idx="28">
                  <c:v>11</c:v>
                </c:pt>
                <c:pt idx="29">
                  <c:v>11</c:v>
                </c:pt>
                <c:pt idx="30">
                  <c:v>11</c:v>
                </c:pt>
                <c:pt idx="31">
                  <c:v>11</c:v>
                </c:pt>
                <c:pt idx="32">
                  <c:v>11</c:v>
                </c:pt>
                <c:pt idx="33">
                  <c:v>11</c:v>
                </c:pt>
                <c:pt idx="34">
                  <c:v>11</c:v>
                </c:pt>
                <c:pt idx="35">
                  <c:v>11</c:v>
                </c:pt>
                <c:pt idx="36">
                  <c:v>11</c:v>
                </c:pt>
                <c:pt idx="37">
                  <c:v>11</c:v>
                </c:pt>
                <c:pt idx="38">
                  <c:v>11</c:v>
                </c:pt>
                <c:pt idx="39">
                  <c:v>11</c:v>
                </c:pt>
                <c:pt idx="40">
                  <c:v>11</c:v>
                </c:pt>
                <c:pt idx="41">
                  <c:v>11</c:v>
                </c:pt>
                <c:pt idx="42">
                  <c:v>11</c:v>
                </c:pt>
                <c:pt idx="43">
                  <c:v>11</c:v>
                </c:pt>
                <c:pt idx="44">
                  <c:v>11</c:v>
                </c:pt>
                <c:pt idx="45">
                  <c:v>11</c:v>
                </c:pt>
                <c:pt idx="46">
                  <c:v>11</c:v>
                </c:pt>
                <c:pt idx="47">
                  <c:v>11</c:v>
                </c:pt>
                <c:pt idx="48">
                  <c:v>11</c:v>
                </c:pt>
                <c:pt idx="49">
                  <c:v>11</c:v>
                </c:pt>
                <c:pt idx="50">
                  <c:v>11</c:v>
                </c:pt>
                <c:pt idx="51">
                  <c:v>11</c:v>
                </c:pt>
                <c:pt idx="52">
                  <c:v>11</c:v>
                </c:pt>
                <c:pt idx="53">
                  <c:v>11</c:v>
                </c:pt>
                <c:pt idx="54">
                  <c:v>11</c:v>
                </c:pt>
                <c:pt idx="55">
                  <c:v>11</c:v>
                </c:pt>
                <c:pt idx="56">
                  <c:v>11</c:v>
                </c:pt>
                <c:pt idx="57">
                  <c:v>11</c:v>
                </c:pt>
                <c:pt idx="58">
                  <c:v>11</c:v>
                </c:pt>
                <c:pt idx="59">
                  <c:v>11</c:v>
                </c:pt>
                <c:pt idx="60">
                  <c:v>11</c:v>
                </c:pt>
                <c:pt idx="61">
                  <c:v>11</c:v>
                </c:pt>
                <c:pt idx="62">
                  <c:v>11</c:v>
                </c:pt>
                <c:pt idx="63">
                  <c:v>11</c:v>
                </c:pt>
                <c:pt idx="64">
                  <c:v>11</c:v>
                </c:pt>
                <c:pt idx="65">
                  <c:v>11</c:v>
                </c:pt>
                <c:pt idx="66">
                  <c:v>11</c:v>
                </c:pt>
                <c:pt idx="67">
                  <c:v>11</c:v>
                </c:pt>
                <c:pt idx="68">
                  <c:v>11</c:v>
                </c:pt>
                <c:pt idx="69">
                  <c:v>11</c:v>
                </c:pt>
                <c:pt idx="70">
                  <c:v>11</c:v>
                </c:pt>
              </c:numCache>
            </c:numRef>
          </c:yVal>
          <c:smooth val="1"/>
          <c:extLst>
            <c:ext xmlns:c16="http://schemas.microsoft.com/office/drawing/2014/chart" uri="{C3380CC4-5D6E-409C-BE32-E72D297353CC}">
              <c16:uniqueId val="{0000000A-D8A1-447F-98A2-14A48FA1C905}"/>
            </c:ext>
          </c:extLst>
        </c:ser>
        <c:ser>
          <c:idx val="10"/>
          <c:order val="11"/>
          <c:tx>
            <c:strRef>
              <c:f>Sheet3!$M$14</c:f>
              <c:strCache>
                <c:ptCount val="1"/>
                <c:pt idx="0">
                  <c:v>50 - 100</c:v>
                </c:pt>
              </c:strCache>
            </c:strRef>
          </c:tx>
          <c:spPr>
            <a:ln w="19050" cap="rnd">
              <a:solidFill>
                <a:schemeClr val="accent5">
                  <a:lumMod val="60000"/>
                </a:schemeClr>
              </a:solidFill>
              <a:round/>
            </a:ln>
            <a:effectLst/>
          </c:spPr>
          <c:marker>
            <c:symbol val="none"/>
          </c:marker>
          <c:xVal>
            <c:numRef>
              <c:f>Sheet3!$A$15:$A$85</c:f>
              <c:numCache>
                <c:formatCode>General</c:formatCode>
                <c:ptCount val="71"/>
                <c:pt idx="0">
                  <c:v>1947</c:v>
                </c:pt>
                <c:pt idx="1">
                  <c:v>1948</c:v>
                </c:pt>
                <c:pt idx="2">
                  <c:v>1949</c:v>
                </c:pt>
                <c:pt idx="3">
                  <c:v>1950</c:v>
                </c:pt>
                <c:pt idx="4">
                  <c:v>1951</c:v>
                </c:pt>
                <c:pt idx="5">
                  <c:v>1952</c:v>
                </c:pt>
                <c:pt idx="6">
                  <c:v>1953</c:v>
                </c:pt>
                <c:pt idx="7">
                  <c:v>1954</c:v>
                </c:pt>
                <c:pt idx="8">
                  <c:v>1955</c:v>
                </c:pt>
                <c:pt idx="9">
                  <c:v>1956</c:v>
                </c:pt>
                <c:pt idx="10">
                  <c:v>1957</c:v>
                </c:pt>
                <c:pt idx="11">
                  <c:v>1958</c:v>
                </c:pt>
                <c:pt idx="12">
                  <c:v>1959</c:v>
                </c:pt>
                <c:pt idx="13">
                  <c:v>1960</c:v>
                </c:pt>
                <c:pt idx="14">
                  <c:v>1961</c:v>
                </c:pt>
                <c:pt idx="15">
                  <c:v>1962</c:v>
                </c:pt>
                <c:pt idx="16">
                  <c:v>1963</c:v>
                </c:pt>
                <c:pt idx="17">
                  <c:v>1964</c:v>
                </c:pt>
                <c:pt idx="18">
                  <c:v>1965</c:v>
                </c:pt>
                <c:pt idx="19">
                  <c:v>1966</c:v>
                </c:pt>
                <c:pt idx="20">
                  <c:v>1967</c:v>
                </c:pt>
                <c:pt idx="21">
                  <c:v>1968</c:v>
                </c:pt>
                <c:pt idx="22">
                  <c:v>1969</c:v>
                </c:pt>
                <c:pt idx="23">
                  <c:v>1970</c:v>
                </c:pt>
                <c:pt idx="24">
                  <c:v>1971</c:v>
                </c:pt>
                <c:pt idx="25">
                  <c:v>1972</c:v>
                </c:pt>
                <c:pt idx="26">
                  <c:v>1973</c:v>
                </c:pt>
                <c:pt idx="27">
                  <c:v>1974</c:v>
                </c:pt>
                <c:pt idx="28">
                  <c:v>1975</c:v>
                </c:pt>
                <c:pt idx="29">
                  <c:v>1976</c:v>
                </c:pt>
                <c:pt idx="30">
                  <c:v>1977</c:v>
                </c:pt>
                <c:pt idx="31">
                  <c:v>1978</c:v>
                </c:pt>
                <c:pt idx="32">
                  <c:v>1979</c:v>
                </c:pt>
                <c:pt idx="33">
                  <c:v>1980</c:v>
                </c:pt>
                <c:pt idx="34">
                  <c:v>1981</c:v>
                </c:pt>
                <c:pt idx="35">
                  <c:v>1982</c:v>
                </c:pt>
                <c:pt idx="36">
                  <c:v>1983</c:v>
                </c:pt>
                <c:pt idx="37">
                  <c:v>1984</c:v>
                </c:pt>
                <c:pt idx="38">
                  <c:v>1985</c:v>
                </c:pt>
                <c:pt idx="39">
                  <c:v>1986</c:v>
                </c:pt>
                <c:pt idx="40">
                  <c:v>1987</c:v>
                </c:pt>
                <c:pt idx="41">
                  <c:v>1988</c:v>
                </c:pt>
                <c:pt idx="42">
                  <c:v>1989</c:v>
                </c:pt>
                <c:pt idx="43">
                  <c:v>1990</c:v>
                </c:pt>
                <c:pt idx="44">
                  <c:v>1991</c:v>
                </c:pt>
                <c:pt idx="45">
                  <c:v>1992</c:v>
                </c:pt>
                <c:pt idx="46">
                  <c:v>1993</c:v>
                </c:pt>
                <c:pt idx="47">
                  <c:v>1994</c:v>
                </c:pt>
                <c:pt idx="48">
                  <c:v>1995</c:v>
                </c:pt>
                <c:pt idx="49">
                  <c:v>1996</c:v>
                </c:pt>
                <c:pt idx="50">
                  <c:v>1997</c:v>
                </c:pt>
                <c:pt idx="51">
                  <c:v>1998</c:v>
                </c:pt>
                <c:pt idx="52">
                  <c:v>1999</c:v>
                </c:pt>
                <c:pt idx="53">
                  <c:v>2000</c:v>
                </c:pt>
                <c:pt idx="54">
                  <c:v>2001</c:v>
                </c:pt>
                <c:pt idx="55">
                  <c:v>2002</c:v>
                </c:pt>
                <c:pt idx="56">
                  <c:v>2003</c:v>
                </c:pt>
                <c:pt idx="57">
                  <c:v>2004</c:v>
                </c:pt>
                <c:pt idx="58">
                  <c:v>2005</c:v>
                </c:pt>
                <c:pt idx="59">
                  <c:v>2006</c:v>
                </c:pt>
                <c:pt idx="60">
                  <c:v>2007</c:v>
                </c:pt>
                <c:pt idx="61">
                  <c:v>2008</c:v>
                </c:pt>
                <c:pt idx="62">
                  <c:v>2009</c:v>
                </c:pt>
                <c:pt idx="63">
                  <c:v>2010</c:v>
                </c:pt>
                <c:pt idx="64">
                  <c:v>2011</c:v>
                </c:pt>
                <c:pt idx="65">
                  <c:v>2012</c:v>
                </c:pt>
                <c:pt idx="66">
                  <c:v>2013</c:v>
                </c:pt>
                <c:pt idx="67">
                  <c:v>2014</c:v>
                </c:pt>
                <c:pt idx="68">
                  <c:v>2015</c:v>
                </c:pt>
                <c:pt idx="69">
                  <c:v>2016</c:v>
                </c:pt>
                <c:pt idx="70">
                  <c:v>2017</c:v>
                </c:pt>
              </c:numCache>
            </c:numRef>
          </c:xVal>
          <c:yVal>
            <c:numRef>
              <c:f>Sheet3!$M$15:$M$85</c:f>
              <c:numCache>
                <c:formatCode>General</c:formatCode>
                <c:ptCount val="71"/>
                <c:pt idx="5">
                  <c:v>12</c:v>
                </c:pt>
                <c:pt idx="6">
                  <c:v>12</c:v>
                </c:pt>
                <c:pt idx="7">
                  <c:v>12</c:v>
                </c:pt>
                <c:pt idx="8">
                  <c:v>12</c:v>
                </c:pt>
                <c:pt idx="9">
                  <c:v>12</c:v>
                </c:pt>
                <c:pt idx="10">
                  <c:v>12</c:v>
                </c:pt>
                <c:pt idx="11">
                  <c:v>12</c:v>
                </c:pt>
                <c:pt idx="12">
                  <c:v>12</c:v>
                </c:pt>
                <c:pt idx="13">
                  <c:v>12</c:v>
                </c:pt>
                <c:pt idx="14">
                  <c:v>12</c:v>
                </c:pt>
                <c:pt idx="15">
                  <c:v>12</c:v>
                </c:pt>
                <c:pt idx="16">
                  <c:v>12</c:v>
                </c:pt>
                <c:pt idx="17">
                  <c:v>12</c:v>
                </c:pt>
                <c:pt idx="18">
                  <c:v>12</c:v>
                </c:pt>
                <c:pt idx="19">
                  <c:v>12</c:v>
                </c:pt>
                <c:pt idx="20">
                  <c:v>12</c:v>
                </c:pt>
                <c:pt idx="21">
                  <c:v>12</c:v>
                </c:pt>
                <c:pt idx="22">
                  <c:v>12</c:v>
                </c:pt>
                <c:pt idx="23">
                  <c:v>12</c:v>
                </c:pt>
                <c:pt idx="24">
                  <c:v>12</c:v>
                </c:pt>
                <c:pt idx="25">
                  <c:v>12</c:v>
                </c:pt>
                <c:pt idx="26">
                  <c:v>12</c:v>
                </c:pt>
                <c:pt idx="27">
                  <c:v>12</c:v>
                </c:pt>
                <c:pt idx="28">
                  <c:v>12</c:v>
                </c:pt>
                <c:pt idx="29">
                  <c:v>12</c:v>
                </c:pt>
                <c:pt idx="30">
                  <c:v>12</c:v>
                </c:pt>
                <c:pt idx="31">
                  <c:v>12</c:v>
                </c:pt>
                <c:pt idx="32">
                  <c:v>12</c:v>
                </c:pt>
                <c:pt idx="33">
                  <c:v>12</c:v>
                </c:pt>
                <c:pt idx="34">
                  <c:v>12</c:v>
                </c:pt>
                <c:pt idx="35">
                  <c:v>12</c:v>
                </c:pt>
                <c:pt idx="36">
                  <c:v>12</c:v>
                </c:pt>
                <c:pt idx="37">
                  <c:v>12</c:v>
                </c:pt>
                <c:pt idx="38">
                  <c:v>12</c:v>
                </c:pt>
                <c:pt idx="39">
                  <c:v>12</c:v>
                </c:pt>
                <c:pt idx="40">
                  <c:v>12</c:v>
                </c:pt>
                <c:pt idx="41">
                  <c:v>12</c:v>
                </c:pt>
                <c:pt idx="42">
                  <c:v>12</c:v>
                </c:pt>
                <c:pt idx="43">
                  <c:v>12</c:v>
                </c:pt>
                <c:pt idx="44">
                  <c:v>12</c:v>
                </c:pt>
                <c:pt idx="45">
                  <c:v>12</c:v>
                </c:pt>
                <c:pt idx="46">
                  <c:v>12</c:v>
                </c:pt>
                <c:pt idx="47">
                  <c:v>12</c:v>
                </c:pt>
                <c:pt idx="48">
                  <c:v>12</c:v>
                </c:pt>
                <c:pt idx="49">
                  <c:v>12</c:v>
                </c:pt>
                <c:pt idx="50">
                  <c:v>12</c:v>
                </c:pt>
                <c:pt idx="51">
                  <c:v>12</c:v>
                </c:pt>
                <c:pt idx="52">
                  <c:v>12</c:v>
                </c:pt>
                <c:pt idx="53">
                  <c:v>12</c:v>
                </c:pt>
                <c:pt idx="54">
                  <c:v>12</c:v>
                </c:pt>
                <c:pt idx="55">
                  <c:v>12</c:v>
                </c:pt>
                <c:pt idx="56">
                  <c:v>12</c:v>
                </c:pt>
                <c:pt idx="57">
                  <c:v>12</c:v>
                </c:pt>
                <c:pt idx="58">
                  <c:v>12</c:v>
                </c:pt>
                <c:pt idx="59">
                  <c:v>12</c:v>
                </c:pt>
                <c:pt idx="60">
                  <c:v>12</c:v>
                </c:pt>
                <c:pt idx="61">
                  <c:v>12</c:v>
                </c:pt>
                <c:pt idx="62">
                  <c:v>12</c:v>
                </c:pt>
                <c:pt idx="63">
                  <c:v>12</c:v>
                </c:pt>
                <c:pt idx="64">
                  <c:v>12</c:v>
                </c:pt>
                <c:pt idx="65">
                  <c:v>12</c:v>
                </c:pt>
                <c:pt idx="66">
                  <c:v>12</c:v>
                </c:pt>
                <c:pt idx="67">
                  <c:v>12</c:v>
                </c:pt>
                <c:pt idx="68">
                  <c:v>12</c:v>
                </c:pt>
                <c:pt idx="69">
                  <c:v>12</c:v>
                </c:pt>
                <c:pt idx="70">
                  <c:v>12</c:v>
                </c:pt>
              </c:numCache>
            </c:numRef>
          </c:yVal>
          <c:smooth val="1"/>
          <c:extLst>
            <c:ext xmlns:c16="http://schemas.microsoft.com/office/drawing/2014/chart" uri="{C3380CC4-5D6E-409C-BE32-E72D297353CC}">
              <c16:uniqueId val="{0000000B-D8A1-447F-98A2-14A48FA1C905}"/>
            </c:ext>
          </c:extLst>
        </c:ser>
        <c:ser>
          <c:idx val="11"/>
          <c:order val="12"/>
          <c:tx>
            <c:strRef>
              <c:f>Sheet3!$N$14</c:f>
              <c:strCache>
                <c:ptCount val="1"/>
                <c:pt idx="0">
                  <c:v>&gt;100</c:v>
                </c:pt>
              </c:strCache>
            </c:strRef>
          </c:tx>
          <c:spPr>
            <a:ln w="19050" cap="rnd">
              <a:solidFill>
                <a:schemeClr val="accent6">
                  <a:lumMod val="60000"/>
                </a:schemeClr>
              </a:solidFill>
              <a:round/>
            </a:ln>
            <a:effectLst/>
          </c:spPr>
          <c:marker>
            <c:symbol val="none"/>
          </c:marker>
          <c:xVal>
            <c:numRef>
              <c:f>Sheet3!$A$15:$A$85</c:f>
              <c:numCache>
                <c:formatCode>General</c:formatCode>
                <c:ptCount val="71"/>
                <c:pt idx="0">
                  <c:v>1947</c:v>
                </c:pt>
                <c:pt idx="1">
                  <c:v>1948</c:v>
                </c:pt>
                <c:pt idx="2">
                  <c:v>1949</c:v>
                </c:pt>
                <c:pt idx="3">
                  <c:v>1950</c:v>
                </c:pt>
                <c:pt idx="4">
                  <c:v>1951</c:v>
                </c:pt>
                <c:pt idx="5">
                  <c:v>1952</c:v>
                </c:pt>
                <c:pt idx="6">
                  <c:v>1953</c:v>
                </c:pt>
                <c:pt idx="7">
                  <c:v>1954</c:v>
                </c:pt>
                <c:pt idx="8">
                  <c:v>1955</c:v>
                </c:pt>
                <c:pt idx="9">
                  <c:v>1956</c:v>
                </c:pt>
                <c:pt idx="10">
                  <c:v>1957</c:v>
                </c:pt>
                <c:pt idx="11">
                  <c:v>1958</c:v>
                </c:pt>
                <c:pt idx="12">
                  <c:v>1959</c:v>
                </c:pt>
                <c:pt idx="13">
                  <c:v>1960</c:v>
                </c:pt>
                <c:pt idx="14">
                  <c:v>1961</c:v>
                </c:pt>
                <c:pt idx="15">
                  <c:v>1962</c:v>
                </c:pt>
                <c:pt idx="16">
                  <c:v>1963</c:v>
                </c:pt>
                <c:pt idx="17">
                  <c:v>1964</c:v>
                </c:pt>
                <c:pt idx="18">
                  <c:v>1965</c:v>
                </c:pt>
                <c:pt idx="19">
                  <c:v>1966</c:v>
                </c:pt>
                <c:pt idx="20">
                  <c:v>1967</c:v>
                </c:pt>
                <c:pt idx="21">
                  <c:v>1968</c:v>
                </c:pt>
                <c:pt idx="22">
                  <c:v>1969</c:v>
                </c:pt>
                <c:pt idx="23">
                  <c:v>1970</c:v>
                </c:pt>
                <c:pt idx="24">
                  <c:v>1971</c:v>
                </c:pt>
                <c:pt idx="25">
                  <c:v>1972</c:v>
                </c:pt>
                <c:pt idx="26">
                  <c:v>1973</c:v>
                </c:pt>
                <c:pt idx="27">
                  <c:v>1974</c:v>
                </c:pt>
                <c:pt idx="28">
                  <c:v>1975</c:v>
                </c:pt>
                <c:pt idx="29">
                  <c:v>1976</c:v>
                </c:pt>
                <c:pt idx="30">
                  <c:v>1977</c:v>
                </c:pt>
                <c:pt idx="31">
                  <c:v>1978</c:v>
                </c:pt>
                <c:pt idx="32">
                  <c:v>1979</c:v>
                </c:pt>
                <c:pt idx="33">
                  <c:v>1980</c:v>
                </c:pt>
                <c:pt idx="34">
                  <c:v>1981</c:v>
                </c:pt>
                <c:pt idx="35">
                  <c:v>1982</c:v>
                </c:pt>
                <c:pt idx="36">
                  <c:v>1983</c:v>
                </c:pt>
                <c:pt idx="37">
                  <c:v>1984</c:v>
                </c:pt>
                <c:pt idx="38">
                  <c:v>1985</c:v>
                </c:pt>
                <c:pt idx="39">
                  <c:v>1986</c:v>
                </c:pt>
                <c:pt idx="40">
                  <c:v>1987</c:v>
                </c:pt>
                <c:pt idx="41">
                  <c:v>1988</c:v>
                </c:pt>
                <c:pt idx="42">
                  <c:v>1989</c:v>
                </c:pt>
                <c:pt idx="43">
                  <c:v>1990</c:v>
                </c:pt>
                <c:pt idx="44">
                  <c:v>1991</c:v>
                </c:pt>
                <c:pt idx="45">
                  <c:v>1992</c:v>
                </c:pt>
                <c:pt idx="46">
                  <c:v>1993</c:v>
                </c:pt>
                <c:pt idx="47">
                  <c:v>1994</c:v>
                </c:pt>
                <c:pt idx="48">
                  <c:v>1995</c:v>
                </c:pt>
                <c:pt idx="49">
                  <c:v>1996</c:v>
                </c:pt>
                <c:pt idx="50">
                  <c:v>1997</c:v>
                </c:pt>
                <c:pt idx="51">
                  <c:v>1998</c:v>
                </c:pt>
                <c:pt idx="52">
                  <c:v>1999</c:v>
                </c:pt>
                <c:pt idx="53">
                  <c:v>2000</c:v>
                </c:pt>
                <c:pt idx="54">
                  <c:v>2001</c:v>
                </c:pt>
                <c:pt idx="55">
                  <c:v>2002</c:v>
                </c:pt>
                <c:pt idx="56">
                  <c:v>2003</c:v>
                </c:pt>
                <c:pt idx="57">
                  <c:v>2004</c:v>
                </c:pt>
                <c:pt idx="58">
                  <c:v>2005</c:v>
                </c:pt>
                <c:pt idx="59">
                  <c:v>2006</c:v>
                </c:pt>
                <c:pt idx="60">
                  <c:v>2007</c:v>
                </c:pt>
                <c:pt idx="61">
                  <c:v>2008</c:v>
                </c:pt>
                <c:pt idx="62">
                  <c:v>2009</c:v>
                </c:pt>
                <c:pt idx="63">
                  <c:v>2010</c:v>
                </c:pt>
                <c:pt idx="64">
                  <c:v>2011</c:v>
                </c:pt>
                <c:pt idx="65">
                  <c:v>2012</c:v>
                </c:pt>
                <c:pt idx="66">
                  <c:v>2013</c:v>
                </c:pt>
                <c:pt idx="67">
                  <c:v>2014</c:v>
                </c:pt>
                <c:pt idx="68">
                  <c:v>2015</c:v>
                </c:pt>
                <c:pt idx="69">
                  <c:v>2016</c:v>
                </c:pt>
                <c:pt idx="70">
                  <c:v>2017</c:v>
                </c:pt>
              </c:numCache>
            </c:numRef>
          </c:xVal>
          <c:yVal>
            <c:numRef>
              <c:f>Sheet3!$N$15:$N$85</c:f>
              <c:numCache>
                <c:formatCode>General</c:formatCode>
                <c:ptCount val="71"/>
                <c:pt idx="0">
                  <c:v>13</c:v>
                </c:pt>
                <c:pt idx="1">
                  <c:v>13</c:v>
                </c:pt>
                <c:pt idx="2">
                  <c:v>13</c:v>
                </c:pt>
                <c:pt idx="3">
                  <c:v>13</c:v>
                </c:pt>
                <c:pt idx="4">
                  <c:v>13</c:v>
                </c:pt>
                <c:pt idx="5">
                  <c:v>13</c:v>
                </c:pt>
                <c:pt idx="6">
                  <c:v>13</c:v>
                </c:pt>
                <c:pt idx="7">
                  <c:v>13</c:v>
                </c:pt>
                <c:pt idx="8">
                  <c:v>13</c:v>
                </c:pt>
                <c:pt idx="9">
                  <c:v>13</c:v>
                </c:pt>
              </c:numCache>
            </c:numRef>
          </c:yVal>
          <c:smooth val="1"/>
          <c:extLst>
            <c:ext xmlns:c16="http://schemas.microsoft.com/office/drawing/2014/chart" uri="{C3380CC4-5D6E-409C-BE32-E72D297353CC}">
              <c16:uniqueId val="{0000000C-D8A1-447F-98A2-14A48FA1C905}"/>
            </c:ext>
          </c:extLst>
        </c:ser>
        <c:ser>
          <c:idx val="12"/>
          <c:order val="13"/>
          <c:tx>
            <c:strRef>
              <c:f>Sheet3!$O$14</c:f>
              <c:strCache>
                <c:ptCount val="1"/>
                <c:pt idx="0">
                  <c:v>100 - 250</c:v>
                </c:pt>
              </c:strCache>
            </c:strRef>
          </c:tx>
          <c:spPr>
            <a:ln w="19050" cap="rnd">
              <a:solidFill>
                <a:schemeClr val="accent1">
                  <a:lumMod val="80000"/>
                  <a:lumOff val="20000"/>
                </a:schemeClr>
              </a:solidFill>
              <a:round/>
            </a:ln>
            <a:effectLst/>
          </c:spPr>
          <c:marker>
            <c:symbol val="none"/>
          </c:marker>
          <c:xVal>
            <c:numRef>
              <c:f>Sheet3!$A$15:$A$85</c:f>
              <c:numCache>
                <c:formatCode>General</c:formatCode>
                <c:ptCount val="71"/>
                <c:pt idx="0">
                  <c:v>1947</c:v>
                </c:pt>
                <c:pt idx="1">
                  <c:v>1948</c:v>
                </c:pt>
                <c:pt idx="2">
                  <c:v>1949</c:v>
                </c:pt>
                <c:pt idx="3">
                  <c:v>1950</c:v>
                </c:pt>
                <c:pt idx="4">
                  <c:v>1951</c:v>
                </c:pt>
                <c:pt idx="5">
                  <c:v>1952</c:v>
                </c:pt>
                <c:pt idx="6">
                  <c:v>1953</c:v>
                </c:pt>
                <c:pt idx="7">
                  <c:v>1954</c:v>
                </c:pt>
                <c:pt idx="8">
                  <c:v>1955</c:v>
                </c:pt>
                <c:pt idx="9">
                  <c:v>1956</c:v>
                </c:pt>
                <c:pt idx="10">
                  <c:v>1957</c:v>
                </c:pt>
                <c:pt idx="11">
                  <c:v>1958</c:v>
                </c:pt>
                <c:pt idx="12">
                  <c:v>1959</c:v>
                </c:pt>
                <c:pt idx="13">
                  <c:v>1960</c:v>
                </c:pt>
                <c:pt idx="14">
                  <c:v>1961</c:v>
                </c:pt>
                <c:pt idx="15">
                  <c:v>1962</c:v>
                </c:pt>
                <c:pt idx="16">
                  <c:v>1963</c:v>
                </c:pt>
                <c:pt idx="17">
                  <c:v>1964</c:v>
                </c:pt>
                <c:pt idx="18">
                  <c:v>1965</c:v>
                </c:pt>
                <c:pt idx="19">
                  <c:v>1966</c:v>
                </c:pt>
                <c:pt idx="20">
                  <c:v>1967</c:v>
                </c:pt>
                <c:pt idx="21">
                  <c:v>1968</c:v>
                </c:pt>
                <c:pt idx="22">
                  <c:v>1969</c:v>
                </c:pt>
                <c:pt idx="23">
                  <c:v>1970</c:v>
                </c:pt>
                <c:pt idx="24">
                  <c:v>1971</c:v>
                </c:pt>
                <c:pt idx="25">
                  <c:v>1972</c:v>
                </c:pt>
                <c:pt idx="26">
                  <c:v>1973</c:v>
                </c:pt>
                <c:pt idx="27">
                  <c:v>1974</c:v>
                </c:pt>
                <c:pt idx="28">
                  <c:v>1975</c:v>
                </c:pt>
                <c:pt idx="29">
                  <c:v>1976</c:v>
                </c:pt>
                <c:pt idx="30">
                  <c:v>1977</c:v>
                </c:pt>
                <c:pt idx="31">
                  <c:v>1978</c:v>
                </c:pt>
                <c:pt idx="32">
                  <c:v>1979</c:v>
                </c:pt>
                <c:pt idx="33">
                  <c:v>1980</c:v>
                </c:pt>
                <c:pt idx="34">
                  <c:v>1981</c:v>
                </c:pt>
                <c:pt idx="35">
                  <c:v>1982</c:v>
                </c:pt>
                <c:pt idx="36">
                  <c:v>1983</c:v>
                </c:pt>
                <c:pt idx="37">
                  <c:v>1984</c:v>
                </c:pt>
                <c:pt idx="38">
                  <c:v>1985</c:v>
                </c:pt>
                <c:pt idx="39">
                  <c:v>1986</c:v>
                </c:pt>
                <c:pt idx="40">
                  <c:v>1987</c:v>
                </c:pt>
                <c:pt idx="41">
                  <c:v>1988</c:v>
                </c:pt>
                <c:pt idx="42">
                  <c:v>1989</c:v>
                </c:pt>
                <c:pt idx="43">
                  <c:v>1990</c:v>
                </c:pt>
                <c:pt idx="44">
                  <c:v>1991</c:v>
                </c:pt>
                <c:pt idx="45">
                  <c:v>1992</c:v>
                </c:pt>
                <c:pt idx="46">
                  <c:v>1993</c:v>
                </c:pt>
                <c:pt idx="47">
                  <c:v>1994</c:v>
                </c:pt>
                <c:pt idx="48">
                  <c:v>1995</c:v>
                </c:pt>
                <c:pt idx="49">
                  <c:v>1996</c:v>
                </c:pt>
                <c:pt idx="50">
                  <c:v>1997</c:v>
                </c:pt>
                <c:pt idx="51">
                  <c:v>1998</c:v>
                </c:pt>
                <c:pt idx="52">
                  <c:v>1999</c:v>
                </c:pt>
                <c:pt idx="53">
                  <c:v>2000</c:v>
                </c:pt>
                <c:pt idx="54">
                  <c:v>2001</c:v>
                </c:pt>
                <c:pt idx="55">
                  <c:v>2002</c:v>
                </c:pt>
                <c:pt idx="56">
                  <c:v>2003</c:v>
                </c:pt>
                <c:pt idx="57">
                  <c:v>2004</c:v>
                </c:pt>
                <c:pt idx="58">
                  <c:v>2005</c:v>
                </c:pt>
                <c:pt idx="59">
                  <c:v>2006</c:v>
                </c:pt>
                <c:pt idx="60">
                  <c:v>2007</c:v>
                </c:pt>
                <c:pt idx="61">
                  <c:v>2008</c:v>
                </c:pt>
                <c:pt idx="62">
                  <c:v>2009</c:v>
                </c:pt>
                <c:pt idx="63">
                  <c:v>2010</c:v>
                </c:pt>
                <c:pt idx="64">
                  <c:v>2011</c:v>
                </c:pt>
                <c:pt idx="65">
                  <c:v>2012</c:v>
                </c:pt>
                <c:pt idx="66">
                  <c:v>2013</c:v>
                </c:pt>
                <c:pt idx="67">
                  <c:v>2014</c:v>
                </c:pt>
                <c:pt idx="68">
                  <c:v>2015</c:v>
                </c:pt>
                <c:pt idx="69">
                  <c:v>2016</c:v>
                </c:pt>
                <c:pt idx="70">
                  <c:v>2017</c:v>
                </c:pt>
              </c:numCache>
            </c:numRef>
          </c:xVal>
          <c:yVal>
            <c:numRef>
              <c:f>Sheet3!$O$15:$O$85</c:f>
              <c:numCache>
                <c:formatCode>General</c:formatCode>
                <c:ptCount val="71"/>
                <c:pt idx="10">
                  <c:v>14</c:v>
                </c:pt>
                <c:pt idx="11">
                  <c:v>14</c:v>
                </c:pt>
                <c:pt idx="12">
                  <c:v>14</c:v>
                </c:pt>
                <c:pt idx="13">
                  <c:v>14</c:v>
                </c:pt>
                <c:pt idx="14">
                  <c:v>14</c:v>
                </c:pt>
                <c:pt idx="15">
                  <c:v>14</c:v>
                </c:pt>
                <c:pt idx="16">
                  <c:v>14</c:v>
                </c:pt>
                <c:pt idx="17">
                  <c:v>14</c:v>
                </c:pt>
                <c:pt idx="18">
                  <c:v>14</c:v>
                </c:pt>
                <c:pt idx="19">
                  <c:v>14</c:v>
                </c:pt>
                <c:pt idx="20">
                  <c:v>14</c:v>
                </c:pt>
                <c:pt idx="21">
                  <c:v>14</c:v>
                </c:pt>
                <c:pt idx="22">
                  <c:v>14</c:v>
                </c:pt>
                <c:pt idx="23">
                  <c:v>14</c:v>
                </c:pt>
                <c:pt idx="24">
                  <c:v>14</c:v>
                </c:pt>
                <c:pt idx="25">
                  <c:v>14</c:v>
                </c:pt>
                <c:pt idx="26">
                  <c:v>14</c:v>
                </c:pt>
                <c:pt idx="27">
                  <c:v>14</c:v>
                </c:pt>
                <c:pt idx="28">
                  <c:v>14</c:v>
                </c:pt>
                <c:pt idx="29">
                  <c:v>14</c:v>
                </c:pt>
                <c:pt idx="30">
                  <c:v>14</c:v>
                </c:pt>
                <c:pt idx="31">
                  <c:v>14</c:v>
                </c:pt>
                <c:pt idx="32">
                  <c:v>14</c:v>
                </c:pt>
                <c:pt idx="33">
                  <c:v>14</c:v>
                </c:pt>
                <c:pt idx="34">
                  <c:v>14</c:v>
                </c:pt>
                <c:pt idx="35">
                  <c:v>14</c:v>
                </c:pt>
                <c:pt idx="36">
                  <c:v>14</c:v>
                </c:pt>
                <c:pt idx="37">
                  <c:v>14</c:v>
                </c:pt>
                <c:pt idx="38">
                  <c:v>14</c:v>
                </c:pt>
                <c:pt idx="39">
                  <c:v>14</c:v>
                </c:pt>
                <c:pt idx="40">
                  <c:v>14</c:v>
                </c:pt>
                <c:pt idx="41">
                  <c:v>14</c:v>
                </c:pt>
                <c:pt idx="42">
                  <c:v>14</c:v>
                </c:pt>
                <c:pt idx="43">
                  <c:v>14</c:v>
                </c:pt>
                <c:pt idx="44">
                  <c:v>14</c:v>
                </c:pt>
                <c:pt idx="45">
                  <c:v>14</c:v>
                </c:pt>
                <c:pt idx="46">
                  <c:v>14</c:v>
                </c:pt>
                <c:pt idx="47">
                  <c:v>14</c:v>
                </c:pt>
                <c:pt idx="48">
                  <c:v>14</c:v>
                </c:pt>
                <c:pt idx="49">
                  <c:v>14</c:v>
                </c:pt>
                <c:pt idx="50">
                  <c:v>14</c:v>
                </c:pt>
                <c:pt idx="51">
                  <c:v>14</c:v>
                </c:pt>
                <c:pt idx="52">
                  <c:v>14</c:v>
                </c:pt>
                <c:pt idx="53">
                  <c:v>14</c:v>
                </c:pt>
                <c:pt idx="54">
                  <c:v>14</c:v>
                </c:pt>
                <c:pt idx="55">
                  <c:v>14</c:v>
                </c:pt>
                <c:pt idx="56">
                  <c:v>14</c:v>
                </c:pt>
                <c:pt idx="57">
                  <c:v>14</c:v>
                </c:pt>
                <c:pt idx="58">
                  <c:v>14</c:v>
                </c:pt>
                <c:pt idx="59">
                  <c:v>14</c:v>
                </c:pt>
                <c:pt idx="60">
                  <c:v>14</c:v>
                </c:pt>
                <c:pt idx="61">
                  <c:v>14</c:v>
                </c:pt>
                <c:pt idx="62">
                  <c:v>14</c:v>
                </c:pt>
                <c:pt idx="63">
                  <c:v>14</c:v>
                </c:pt>
                <c:pt idx="64">
                  <c:v>14</c:v>
                </c:pt>
                <c:pt idx="65">
                  <c:v>14</c:v>
                </c:pt>
                <c:pt idx="66">
                  <c:v>14</c:v>
                </c:pt>
                <c:pt idx="67">
                  <c:v>14</c:v>
                </c:pt>
                <c:pt idx="68">
                  <c:v>14</c:v>
                </c:pt>
                <c:pt idx="69">
                  <c:v>14</c:v>
                </c:pt>
                <c:pt idx="70">
                  <c:v>14</c:v>
                </c:pt>
              </c:numCache>
            </c:numRef>
          </c:yVal>
          <c:smooth val="1"/>
          <c:extLst>
            <c:ext xmlns:c16="http://schemas.microsoft.com/office/drawing/2014/chart" uri="{C3380CC4-5D6E-409C-BE32-E72D297353CC}">
              <c16:uniqueId val="{0000000D-D8A1-447F-98A2-14A48FA1C905}"/>
            </c:ext>
          </c:extLst>
        </c:ser>
        <c:ser>
          <c:idx val="13"/>
          <c:order val="14"/>
          <c:tx>
            <c:strRef>
              <c:f>Sheet3!$P$14</c:f>
              <c:strCache>
                <c:ptCount val="1"/>
                <c:pt idx="0">
                  <c:v>250 - 1000</c:v>
                </c:pt>
              </c:strCache>
            </c:strRef>
          </c:tx>
          <c:spPr>
            <a:ln w="19050" cap="rnd">
              <a:solidFill>
                <a:schemeClr val="accent2">
                  <a:lumMod val="80000"/>
                  <a:lumOff val="20000"/>
                </a:schemeClr>
              </a:solidFill>
              <a:round/>
            </a:ln>
            <a:effectLst/>
          </c:spPr>
          <c:marker>
            <c:symbol val="none"/>
          </c:marker>
          <c:xVal>
            <c:numRef>
              <c:f>Sheet3!$A$15:$A$85</c:f>
              <c:numCache>
                <c:formatCode>General</c:formatCode>
                <c:ptCount val="71"/>
                <c:pt idx="0">
                  <c:v>1947</c:v>
                </c:pt>
                <c:pt idx="1">
                  <c:v>1948</c:v>
                </c:pt>
                <c:pt idx="2">
                  <c:v>1949</c:v>
                </c:pt>
                <c:pt idx="3">
                  <c:v>1950</c:v>
                </c:pt>
                <c:pt idx="4">
                  <c:v>1951</c:v>
                </c:pt>
                <c:pt idx="5">
                  <c:v>1952</c:v>
                </c:pt>
                <c:pt idx="6">
                  <c:v>1953</c:v>
                </c:pt>
                <c:pt idx="7">
                  <c:v>1954</c:v>
                </c:pt>
                <c:pt idx="8">
                  <c:v>1955</c:v>
                </c:pt>
                <c:pt idx="9">
                  <c:v>1956</c:v>
                </c:pt>
                <c:pt idx="10">
                  <c:v>1957</c:v>
                </c:pt>
                <c:pt idx="11">
                  <c:v>1958</c:v>
                </c:pt>
                <c:pt idx="12">
                  <c:v>1959</c:v>
                </c:pt>
                <c:pt idx="13">
                  <c:v>1960</c:v>
                </c:pt>
                <c:pt idx="14">
                  <c:v>1961</c:v>
                </c:pt>
                <c:pt idx="15">
                  <c:v>1962</c:v>
                </c:pt>
                <c:pt idx="16">
                  <c:v>1963</c:v>
                </c:pt>
                <c:pt idx="17">
                  <c:v>1964</c:v>
                </c:pt>
                <c:pt idx="18">
                  <c:v>1965</c:v>
                </c:pt>
                <c:pt idx="19">
                  <c:v>1966</c:v>
                </c:pt>
                <c:pt idx="20">
                  <c:v>1967</c:v>
                </c:pt>
                <c:pt idx="21">
                  <c:v>1968</c:v>
                </c:pt>
                <c:pt idx="22">
                  <c:v>1969</c:v>
                </c:pt>
                <c:pt idx="23">
                  <c:v>1970</c:v>
                </c:pt>
                <c:pt idx="24">
                  <c:v>1971</c:v>
                </c:pt>
                <c:pt idx="25">
                  <c:v>1972</c:v>
                </c:pt>
                <c:pt idx="26">
                  <c:v>1973</c:v>
                </c:pt>
                <c:pt idx="27">
                  <c:v>1974</c:v>
                </c:pt>
                <c:pt idx="28">
                  <c:v>1975</c:v>
                </c:pt>
                <c:pt idx="29">
                  <c:v>1976</c:v>
                </c:pt>
                <c:pt idx="30">
                  <c:v>1977</c:v>
                </c:pt>
                <c:pt idx="31">
                  <c:v>1978</c:v>
                </c:pt>
                <c:pt idx="32">
                  <c:v>1979</c:v>
                </c:pt>
                <c:pt idx="33">
                  <c:v>1980</c:v>
                </c:pt>
                <c:pt idx="34">
                  <c:v>1981</c:v>
                </c:pt>
                <c:pt idx="35">
                  <c:v>1982</c:v>
                </c:pt>
                <c:pt idx="36">
                  <c:v>1983</c:v>
                </c:pt>
                <c:pt idx="37">
                  <c:v>1984</c:v>
                </c:pt>
                <c:pt idx="38">
                  <c:v>1985</c:v>
                </c:pt>
                <c:pt idx="39">
                  <c:v>1986</c:v>
                </c:pt>
                <c:pt idx="40">
                  <c:v>1987</c:v>
                </c:pt>
                <c:pt idx="41">
                  <c:v>1988</c:v>
                </c:pt>
                <c:pt idx="42">
                  <c:v>1989</c:v>
                </c:pt>
                <c:pt idx="43">
                  <c:v>1990</c:v>
                </c:pt>
                <c:pt idx="44">
                  <c:v>1991</c:v>
                </c:pt>
                <c:pt idx="45">
                  <c:v>1992</c:v>
                </c:pt>
                <c:pt idx="46">
                  <c:v>1993</c:v>
                </c:pt>
                <c:pt idx="47">
                  <c:v>1994</c:v>
                </c:pt>
                <c:pt idx="48">
                  <c:v>1995</c:v>
                </c:pt>
                <c:pt idx="49">
                  <c:v>1996</c:v>
                </c:pt>
                <c:pt idx="50">
                  <c:v>1997</c:v>
                </c:pt>
                <c:pt idx="51">
                  <c:v>1998</c:v>
                </c:pt>
                <c:pt idx="52">
                  <c:v>1999</c:v>
                </c:pt>
                <c:pt idx="53">
                  <c:v>2000</c:v>
                </c:pt>
                <c:pt idx="54">
                  <c:v>2001</c:v>
                </c:pt>
                <c:pt idx="55">
                  <c:v>2002</c:v>
                </c:pt>
                <c:pt idx="56">
                  <c:v>2003</c:v>
                </c:pt>
                <c:pt idx="57">
                  <c:v>2004</c:v>
                </c:pt>
                <c:pt idx="58">
                  <c:v>2005</c:v>
                </c:pt>
                <c:pt idx="59">
                  <c:v>2006</c:v>
                </c:pt>
                <c:pt idx="60">
                  <c:v>2007</c:v>
                </c:pt>
                <c:pt idx="61">
                  <c:v>2008</c:v>
                </c:pt>
                <c:pt idx="62">
                  <c:v>2009</c:v>
                </c:pt>
                <c:pt idx="63">
                  <c:v>2010</c:v>
                </c:pt>
                <c:pt idx="64">
                  <c:v>2011</c:v>
                </c:pt>
                <c:pt idx="65">
                  <c:v>2012</c:v>
                </c:pt>
                <c:pt idx="66">
                  <c:v>2013</c:v>
                </c:pt>
                <c:pt idx="67">
                  <c:v>2014</c:v>
                </c:pt>
                <c:pt idx="68">
                  <c:v>2015</c:v>
                </c:pt>
                <c:pt idx="69">
                  <c:v>2016</c:v>
                </c:pt>
                <c:pt idx="70">
                  <c:v>2017</c:v>
                </c:pt>
              </c:numCache>
            </c:numRef>
          </c:xVal>
          <c:yVal>
            <c:numRef>
              <c:f>Sheet3!$P$15:$P$85</c:f>
              <c:numCache>
                <c:formatCode>General</c:formatCode>
                <c:ptCount val="71"/>
                <c:pt idx="10">
                  <c:v>15</c:v>
                </c:pt>
                <c:pt idx="11">
                  <c:v>15</c:v>
                </c:pt>
                <c:pt idx="12">
                  <c:v>15</c:v>
                </c:pt>
                <c:pt idx="13">
                  <c:v>15</c:v>
                </c:pt>
                <c:pt idx="14">
                  <c:v>15</c:v>
                </c:pt>
                <c:pt idx="15">
                  <c:v>15</c:v>
                </c:pt>
                <c:pt idx="16">
                  <c:v>15</c:v>
                </c:pt>
                <c:pt idx="17">
                  <c:v>15</c:v>
                </c:pt>
                <c:pt idx="18">
                  <c:v>15</c:v>
                </c:pt>
                <c:pt idx="19">
                  <c:v>15</c:v>
                </c:pt>
                <c:pt idx="20">
                  <c:v>15</c:v>
                </c:pt>
                <c:pt idx="21">
                  <c:v>15</c:v>
                </c:pt>
                <c:pt idx="22">
                  <c:v>15</c:v>
                </c:pt>
                <c:pt idx="23">
                  <c:v>15</c:v>
                </c:pt>
                <c:pt idx="24">
                  <c:v>15</c:v>
                </c:pt>
                <c:pt idx="25">
                  <c:v>15</c:v>
                </c:pt>
                <c:pt idx="26">
                  <c:v>15</c:v>
                </c:pt>
                <c:pt idx="27">
                  <c:v>15</c:v>
                </c:pt>
                <c:pt idx="28">
                  <c:v>15</c:v>
                </c:pt>
                <c:pt idx="29">
                  <c:v>15</c:v>
                </c:pt>
                <c:pt idx="30">
                  <c:v>15</c:v>
                </c:pt>
                <c:pt idx="31">
                  <c:v>15</c:v>
                </c:pt>
                <c:pt idx="32">
                  <c:v>15</c:v>
                </c:pt>
                <c:pt idx="33">
                  <c:v>15</c:v>
                </c:pt>
                <c:pt idx="34">
                  <c:v>15</c:v>
                </c:pt>
                <c:pt idx="35">
                  <c:v>15</c:v>
                </c:pt>
                <c:pt idx="36">
                  <c:v>15</c:v>
                </c:pt>
                <c:pt idx="37">
                  <c:v>15</c:v>
                </c:pt>
                <c:pt idx="38">
                  <c:v>15</c:v>
                </c:pt>
                <c:pt idx="39">
                  <c:v>15</c:v>
                </c:pt>
                <c:pt idx="40">
                  <c:v>15</c:v>
                </c:pt>
                <c:pt idx="41">
                  <c:v>15</c:v>
                </c:pt>
                <c:pt idx="42">
                  <c:v>15</c:v>
                </c:pt>
                <c:pt idx="43">
                  <c:v>15</c:v>
                </c:pt>
                <c:pt idx="44">
                  <c:v>15</c:v>
                </c:pt>
                <c:pt idx="45">
                  <c:v>15</c:v>
                </c:pt>
                <c:pt idx="46">
                  <c:v>15</c:v>
                </c:pt>
                <c:pt idx="47">
                  <c:v>15</c:v>
                </c:pt>
                <c:pt idx="48">
                  <c:v>15</c:v>
                </c:pt>
                <c:pt idx="49">
                  <c:v>15</c:v>
                </c:pt>
                <c:pt idx="50">
                  <c:v>15</c:v>
                </c:pt>
                <c:pt idx="51">
                  <c:v>15</c:v>
                </c:pt>
                <c:pt idx="52">
                  <c:v>15</c:v>
                </c:pt>
                <c:pt idx="53">
                  <c:v>15</c:v>
                </c:pt>
                <c:pt idx="54">
                  <c:v>15</c:v>
                </c:pt>
                <c:pt idx="55">
                  <c:v>15</c:v>
                </c:pt>
                <c:pt idx="56">
                  <c:v>15</c:v>
                </c:pt>
                <c:pt idx="57">
                  <c:v>15</c:v>
                </c:pt>
                <c:pt idx="58">
                  <c:v>15</c:v>
                </c:pt>
                <c:pt idx="59">
                  <c:v>15</c:v>
                </c:pt>
                <c:pt idx="60">
                  <c:v>15</c:v>
                </c:pt>
                <c:pt idx="61">
                  <c:v>15</c:v>
                </c:pt>
                <c:pt idx="62">
                  <c:v>15</c:v>
                </c:pt>
                <c:pt idx="63">
                  <c:v>15</c:v>
                </c:pt>
                <c:pt idx="64">
                  <c:v>15</c:v>
                </c:pt>
                <c:pt idx="65">
                  <c:v>15</c:v>
                </c:pt>
                <c:pt idx="66">
                  <c:v>15</c:v>
                </c:pt>
                <c:pt idx="67">
                  <c:v>15</c:v>
                </c:pt>
                <c:pt idx="68">
                  <c:v>15</c:v>
                </c:pt>
                <c:pt idx="69">
                  <c:v>15</c:v>
                </c:pt>
                <c:pt idx="70">
                  <c:v>15</c:v>
                </c:pt>
              </c:numCache>
            </c:numRef>
          </c:yVal>
          <c:smooth val="1"/>
          <c:extLst>
            <c:ext xmlns:c16="http://schemas.microsoft.com/office/drawing/2014/chart" uri="{C3380CC4-5D6E-409C-BE32-E72D297353CC}">
              <c16:uniqueId val="{0000000E-D8A1-447F-98A2-14A48FA1C905}"/>
            </c:ext>
          </c:extLst>
        </c:ser>
        <c:ser>
          <c:idx val="14"/>
          <c:order val="15"/>
          <c:tx>
            <c:strRef>
              <c:f>Sheet3!$Q$14</c:f>
              <c:strCache>
                <c:ptCount val="1"/>
                <c:pt idx="0">
                  <c:v>&gt;1000</c:v>
                </c:pt>
              </c:strCache>
            </c:strRef>
          </c:tx>
          <c:spPr>
            <a:ln w="19050" cap="rnd">
              <a:solidFill>
                <a:schemeClr val="accent3">
                  <a:lumMod val="80000"/>
                  <a:lumOff val="20000"/>
                </a:schemeClr>
              </a:solidFill>
              <a:round/>
            </a:ln>
            <a:effectLst/>
          </c:spPr>
          <c:marker>
            <c:symbol val="none"/>
          </c:marker>
          <c:xVal>
            <c:numRef>
              <c:f>Sheet3!$A$15:$A$85</c:f>
              <c:numCache>
                <c:formatCode>General</c:formatCode>
                <c:ptCount val="71"/>
                <c:pt idx="0">
                  <c:v>1947</c:v>
                </c:pt>
                <c:pt idx="1">
                  <c:v>1948</c:v>
                </c:pt>
                <c:pt idx="2">
                  <c:v>1949</c:v>
                </c:pt>
                <c:pt idx="3">
                  <c:v>1950</c:v>
                </c:pt>
                <c:pt idx="4">
                  <c:v>1951</c:v>
                </c:pt>
                <c:pt idx="5">
                  <c:v>1952</c:v>
                </c:pt>
                <c:pt idx="6">
                  <c:v>1953</c:v>
                </c:pt>
                <c:pt idx="7">
                  <c:v>1954</c:v>
                </c:pt>
                <c:pt idx="8">
                  <c:v>1955</c:v>
                </c:pt>
                <c:pt idx="9">
                  <c:v>1956</c:v>
                </c:pt>
                <c:pt idx="10">
                  <c:v>1957</c:v>
                </c:pt>
                <c:pt idx="11">
                  <c:v>1958</c:v>
                </c:pt>
                <c:pt idx="12">
                  <c:v>1959</c:v>
                </c:pt>
                <c:pt idx="13">
                  <c:v>1960</c:v>
                </c:pt>
                <c:pt idx="14">
                  <c:v>1961</c:v>
                </c:pt>
                <c:pt idx="15">
                  <c:v>1962</c:v>
                </c:pt>
                <c:pt idx="16">
                  <c:v>1963</c:v>
                </c:pt>
                <c:pt idx="17">
                  <c:v>1964</c:v>
                </c:pt>
                <c:pt idx="18">
                  <c:v>1965</c:v>
                </c:pt>
                <c:pt idx="19">
                  <c:v>1966</c:v>
                </c:pt>
                <c:pt idx="20">
                  <c:v>1967</c:v>
                </c:pt>
                <c:pt idx="21">
                  <c:v>1968</c:v>
                </c:pt>
                <c:pt idx="22">
                  <c:v>1969</c:v>
                </c:pt>
                <c:pt idx="23">
                  <c:v>1970</c:v>
                </c:pt>
                <c:pt idx="24">
                  <c:v>1971</c:v>
                </c:pt>
                <c:pt idx="25">
                  <c:v>1972</c:v>
                </c:pt>
                <c:pt idx="26">
                  <c:v>1973</c:v>
                </c:pt>
                <c:pt idx="27">
                  <c:v>1974</c:v>
                </c:pt>
                <c:pt idx="28">
                  <c:v>1975</c:v>
                </c:pt>
                <c:pt idx="29">
                  <c:v>1976</c:v>
                </c:pt>
                <c:pt idx="30">
                  <c:v>1977</c:v>
                </c:pt>
                <c:pt idx="31">
                  <c:v>1978</c:v>
                </c:pt>
                <c:pt idx="32">
                  <c:v>1979</c:v>
                </c:pt>
                <c:pt idx="33">
                  <c:v>1980</c:v>
                </c:pt>
                <c:pt idx="34">
                  <c:v>1981</c:v>
                </c:pt>
                <c:pt idx="35">
                  <c:v>1982</c:v>
                </c:pt>
                <c:pt idx="36">
                  <c:v>1983</c:v>
                </c:pt>
                <c:pt idx="37">
                  <c:v>1984</c:v>
                </c:pt>
                <c:pt idx="38">
                  <c:v>1985</c:v>
                </c:pt>
                <c:pt idx="39">
                  <c:v>1986</c:v>
                </c:pt>
                <c:pt idx="40">
                  <c:v>1987</c:v>
                </c:pt>
                <c:pt idx="41">
                  <c:v>1988</c:v>
                </c:pt>
                <c:pt idx="42">
                  <c:v>1989</c:v>
                </c:pt>
                <c:pt idx="43">
                  <c:v>1990</c:v>
                </c:pt>
                <c:pt idx="44">
                  <c:v>1991</c:v>
                </c:pt>
                <c:pt idx="45">
                  <c:v>1992</c:v>
                </c:pt>
                <c:pt idx="46">
                  <c:v>1993</c:v>
                </c:pt>
                <c:pt idx="47">
                  <c:v>1994</c:v>
                </c:pt>
                <c:pt idx="48">
                  <c:v>1995</c:v>
                </c:pt>
                <c:pt idx="49">
                  <c:v>1996</c:v>
                </c:pt>
                <c:pt idx="50">
                  <c:v>1997</c:v>
                </c:pt>
                <c:pt idx="51">
                  <c:v>1998</c:v>
                </c:pt>
                <c:pt idx="52">
                  <c:v>1999</c:v>
                </c:pt>
                <c:pt idx="53">
                  <c:v>2000</c:v>
                </c:pt>
                <c:pt idx="54">
                  <c:v>2001</c:v>
                </c:pt>
                <c:pt idx="55">
                  <c:v>2002</c:v>
                </c:pt>
                <c:pt idx="56">
                  <c:v>2003</c:v>
                </c:pt>
                <c:pt idx="57">
                  <c:v>2004</c:v>
                </c:pt>
                <c:pt idx="58">
                  <c:v>2005</c:v>
                </c:pt>
                <c:pt idx="59">
                  <c:v>2006</c:v>
                </c:pt>
                <c:pt idx="60">
                  <c:v>2007</c:v>
                </c:pt>
                <c:pt idx="61">
                  <c:v>2008</c:v>
                </c:pt>
                <c:pt idx="62">
                  <c:v>2009</c:v>
                </c:pt>
                <c:pt idx="63">
                  <c:v>2010</c:v>
                </c:pt>
                <c:pt idx="64">
                  <c:v>2011</c:v>
                </c:pt>
                <c:pt idx="65">
                  <c:v>2012</c:v>
                </c:pt>
                <c:pt idx="66">
                  <c:v>2013</c:v>
                </c:pt>
                <c:pt idx="67">
                  <c:v>2014</c:v>
                </c:pt>
                <c:pt idx="68">
                  <c:v>2015</c:v>
                </c:pt>
                <c:pt idx="69">
                  <c:v>2016</c:v>
                </c:pt>
                <c:pt idx="70">
                  <c:v>2017</c:v>
                </c:pt>
              </c:numCache>
            </c:numRef>
          </c:xVal>
          <c:yVal>
            <c:numRef>
              <c:f>Sheet3!$Q$15:$Q$85</c:f>
              <c:numCache>
                <c:formatCode>General</c:formatCode>
                <c:ptCount val="71"/>
                <c:pt idx="10">
                  <c:v>16</c:v>
                </c:pt>
                <c:pt idx="11">
                  <c:v>16</c:v>
                </c:pt>
                <c:pt idx="12">
                  <c:v>16</c:v>
                </c:pt>
                <c:pt idx="13">
                  <c:v>16</c:v>
                </c:pt>
                <c:pt idx="14">
                  <c:v>16</c:v>
                </c:pt>
                <c:pt idx="15">
                  <c:v>16</c:v>
                </c:pt>
                <c:pt idx="16">
                  <c:v>16</c:v>
                </c:pt>
                <c:pt idx="17">
                  <c:v>16</c:v>
                </c:pt>
                <c:pt idx="18">
                  <c:v>16</c:v>
                </c:pt>
                <c:pt idx="19">
                  <c:v>16</c:v>
                </c:pt>
                <c:pt idx="20">
                  <c:v>16</c:v>
                </c:pt>
                <c:pt idx="21">
                  <c:v>16</c:v>
                </c:pt>
                <c:pt idx="22">
                  <c:v>16</c:v>
                </c:pt>
                <c:pt idx="23">
                  <c:v>16</c:v>
                </c:pt>
                <c:pt idx="24">
                  <c:v>16</c:v>
                </c:pt>
                <c:pt idx="25">
                  <c:v>16</c:v>
                </c:pt>
                <c:pt idx="26">
                  <c:v>16</c:v>
                </c:pt>
                <c:pt idx="27">
                  <c:v>16</c:v>
                </c:pt>
                <c:pt idx="28">
                  <c:v>16</c:v>
                </c:pt>
                <c:pt idx="29">
                  <c:v>16</c:v>
                </c:pt>
                <c:pt idx="30">
                  <c:v>16</c:v>
                </c:pt>
                <c:pt idx="31">
                  <c:v>16</c:v>
                </c:pt>
                <c:pt idx="32">
                  <c:v>16</c:v>
                </c:pt>
                <c:pt idx="33">
                  <c:v>16</c:v>
                </c:pt>
                <c:pt idx="34">
                  <c:v>16</c:v>
                </c:pt>
                <c:pt idx="35">
                  <c:v>16</c:v>
                </c:pt>
                <c:pt idx="36">
                  <c:v>16</c:v>
                </c:pt>
                <c:pt idx="37">
                  <c:v>16</c:v>
                </c:pt>
                <c:pt idx="38">
                  <c:v>16</c:v>
                </c:pt>
                <c:pt idx="39">
                  <c:v>16</c:v>
                </c:pt>
                <c:pt idx="40">
                  <c:v>16</c:v>
                </c:pt>
                <c:pt idx="41">
                  <c:v>16</c:v>
                </c:pt>
                <c:pt idx="42">
                  <c:v>16</c:v>
                </c:pt>
                <c:pt idx="43">
                  <c:v>16</c:v>
                </c:pt>
                <c:pt idx="44">
                  <c:v>16</c:v>
                </c:pt>
                <c:pt idx="45">
                  <c:v>16</c:v>
                </c:pt>
                <c:pt idx="46">
                  <c:v>16</c:v>
                </c:pt>
                <c:pt idx="47">
                  <c:v>16</c:v>
                </c:pt>
                <c:pt idx="48">
                  <c:v>16</c:v>
                </c:pt>
                <c:pt idx="49">
                  <c:v>16</c:v>
                </c:pt>
                <c:pt idx="50">
                  <c:v>16</c:v>
                </c:pt>
                <c:pt idx="51">
                  <c:v>16</c:v>
                </c:pt>
                <c:pt idx="52">
                  <c:v>16</c:v>
                </c:pt>
                <c:pt idx="53">
                  <c:v>16</c:v>
                </c:pt>
                <c:pt idx="54">
                  <c:v>16</c:v>
                </c:pt>
                <c:pt idx="55">
                  <c:v>16</c:v>
                </c:pt>
                <c:pt idx="56">
                  <c:v>16</c:v>
                </c:pt>
                <c:pt idx="57">
                  <c:v>16</c:v>
                </c:pt>
                <c:pt idx="58">
                  <c:v>16</c:v>
                </c:pt>
                <c:pt idx="59">
                  <c:v>16</c:v>
                </c:pt>
                <c:pt idx="60">
                  <c:v>16</c:v>
                </c:pt>
                <c:pt idx="61">
                  <c:v>16</c:v>
                </c:pt>
                <c:pt idx="62">
                  <c:v>16</c:v>
                </c:pt>
                <c:pt idx="63">
                  <c:v>16</c:v>
                </c:pt>
                <c:pt idx="64">
                  <c:v>16</c:v>
                </c:pt>
                <c:pt idx="65">
                  <c:v>16</c:v>
                </c:pt>
                <c:pt idx="66">
                  <c:v>16</c:v>
                </c:pt>
                <c:pt idx="67">
                  <c:v>16</c:v>
                </c:pt>
                <c:pt idx="68">
                  <c:v>16</c:v>
                </c:pt>
                <c:pt idx="69">
                  <c:v>16</c:v>
                </c:pt>
                <c:pt idx="70">
                  <c:v>16</c:v>
                </c:pt>
              </c:numCache>
            </c:numRef>
          </c:yVal>
          <c:smooth val="1"/>
          <c:extLst>
            <c:ext xmlns:c16="http://schemas.microsoft.com/office/drawing/2014/chart" uri="{C3380CC4-5D6E-409C-BE32-E72D297353CC}">
              <c16:uniqueId val="{0000000F-D8A1-447F-98A2-14A48FA1C905}"/>
            </c:ext>
          </c:extLst>
        </c:ser>
        <c:dLbls>
          <c:showLegendKey val="0"/>
          <c:showVal val="0"/>
          <c:showCatName val="0"/>
          <c:showSerName val="0"/>
          <c:showPercent val="0"/>
          <c:showBubbleSize val="0"/>
        </c:dLbls>
        <c:axId val="678934152"/>
        <c:axId val="668021752"/>
      </c:scatterChart>
      <c:valAx>
        <c:axId val="678934152"/>
        <c:scaling>
          <c:orientation val="minMax"/>
          <c:max val="2020"/>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68021752"/>
        <c:crosses val="autoZero"/>
        <c:crossBetween val="midCat"/>
      </c:valAx>
      <c:valAx>
        <c:axId val="66802175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78934152"/>
        <c:crosses val="autoZero"/>
        <c:crossBetween val="midCat"/>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cap="all" spc="150" baseline="0">
                <a:solidFill>
                  <a:schemeClr val="tx1">
                    <a:lumMod val="50000"/>
                    <a:lumOff val="50000"/>
                  </a:schemeClr>
                </a:solidFill>
                <a:latin typeface="+mn-lt"/>
                <a:ea typeface="+mn-ea"/>
                <a:cs typeface="+mn-cs"/>
              </a:defRPr>
            </a:pPr>
            <a:r>
              <a:rPr lang="en-US"/>
              <a:t>Certainty Asset Cutoff</a:t>
            </a:r>
          </a:p>
          <a:p>
            <a:pPr>
              <a:defRPr/>
            </a:pPr>
            <a:r>
              <a:rPr lang="en-US"/>
              <a:t>(millions)</a:t>
            </a:r>
          </a:p>
        </c:rich>
      </c:tx>
      <c:layout>
        <c:manualLayout>
          <c:xMode val="edge"/>
          <c:yMode val="edge"/>
          <c:x val="0.2865762795275591"/>
          <c:y val="1.2483661657426467E-2"/>
        </c:manualLayout>
      </c:layout>
      <c:overlay val="0"/>
      <c:spPr>
        <a:noFill/>
        <a:ln>
          <a:noFill/>
        </a:ln>
        <a:effectLst/>
      </c:spPr>
      <c:txPr>
        <a:bodyPr rot="0" spcFirstLastPara="1" vertOverflow="ellipsis" vert="horz" wrap="square" anchor="ctr" anchorCtr="1"/>
        <a:lstStyle/>
        <a:p>
          <a:pPr>
            <a:defRPr sz="1800" b="1" i="0" u="none" strike="noStrike" kern="1200" cap="all" spc="150" baseline="0">
              <a:solidFill>
                <a:schemeClr val="tx1">
                  <a:lumMod val="50000"/>
                  <a:lumOff val="50000"/>
                </a:schemeClr>
              </a:solidFill>
              <a:latin typeface="+mn-lt"/>
              <a:ea typeface="+mn-ea"/>
              <a:cs typeface="+mn-cs"/>
            </a:defRPr>
          </a:pPr>
          <a:endParaRPr lang="en-US"/>
        </a:p>
      </c:txPr>
    </c:title>
    <c:autoTitleDeleted val="0"/>
    <c:plotArea>
      <c:layout>
        <c:manualLayout>
          <c:layoutTarget val="inner"/>
          <c:xMode val="edge"/>
          <c:yMode val="edge"/>
          <c:x val="5.5269028871391075E-2"/>
          <c:y val="0.17470372631003803"/>
          <c:w val="0.91764763779527558"/>
          <c:h val="0.72709966109681945"/>
        </c:manualLayout>
      </c:layout>
      <c:lineChart>
        <c:grouping val="stacked"/>
        <c:varyColors val="0"/>
        <c:ser>
          <c:idx val="0"/>
          <c:order val="0"/>
          <c:spPr>
            <a:ln w="38100" cap="flat" cmpd="dbl" algn="ctr">
              <a:solidFill>
                <a:schemeClr val="accent1"/>
              </a:solidFill>
              <a:miter lim="800000"/>
            </a:ln>
            <a:effectLst/>
          </c:spPr>
          <c:marker>
            <c:symbol val="none"/>
          </c:marker>
          <c:dLbls>
            <c:dLbl>
              <c:idx val="2"/>
              <c:layout>
                <c:manualLayout>
                  <c:x val="2.7083333333333313E-2"/>
                  <c:y val="-4.8367587571992804E-2"/>
                </c:manualLayout>
              </c:layout>
              <c:tx>
                <c:rich>
                  <a:bodyPr/>
                  <a:lstStyle/>
                  <a:p>
                    <a:fld id="{214591C3-C31F-4013-8B78-AE5454FBFDE6}" type="VALUE">
                      <a:rPr lang="en-US"/>
                      <a:pPr/>
                      <a:t>[VALUE]</a:t>
                    </a:fld>
                    <a:r>
                      <a:rPr lang="en-US"/>
                      <a:t> </a:t>
                    </a:r>
                  </a:p>
                  <a:p>
                    <a:r>
                      <a:rPr lang="en-US"/>
                      <a:t>Million</a:t>
                    </a:r>
                  </a:p>
                </c:rich>
              </c:tx>
              <c:showLegendKey val="0"/>
              <c:showVal val="1"/>
              <c:showCatName val="0"/>
              <c:showSerName val="0"/>
              <c:showPercent val="0"/>
              <c:showBubbleSize val="0"/>
              <c:extLst>
                <c:ext xmlns:c15="http://schemas.microsoft.com/office/drawing/2012/chart" uri="{CE6537A1-D6FC-4f65-9D91-7224C49458BB}">
                  <c15:layout/>
                  <c15:dlblFieldTable/>
                  <c15:showDataLabelsRange val="0"/>
                </c:ext>
                <c:ext xmlns:c16="http://schemas.microsoft.com/office/drawing/2014/chart" uri="{C3380CC4-5D6E-409C-BE32-E72D297353CC}">
                  <c16:uniqueId val="{00000000-8CD4-4DDC-809B-F98DE0ABF2AB}"/>
                </c:ext>
              </c:extLst>
            </c:dLbl>
            <c:dLbl>
              <c:idx val="21"/>
              <c:layout>
                <c:manualLayout>
                  <c:x val="-3.3333333333333333E-2"/>
                  <c:y val="-4.8367587571992804E-2"/>
                </c:manualLayout>
              </c:layout>
              <c:tx>
                <c:rich>
                  <a:bodyPr/>
                  <a:lstStyle/>
                  <a:p>
                    <a:fld id="{502498C8-C661-42D8-B683-1F0C45829F79}" type="VALUE">
                      <a:rPr lang="en-US"/>
                      <a:pPr/>
                      <a:t>[VALUE]</a:t>
                    </a:fld>
                    <a:endParaRPr lang="en-US"/>
                  </a:p>
                  <a:p>
                    <a:r>
                      <a:rPr lang="en-US"/>
                      <a:t> Million</a:t>
                    </a:r>
                  </a:p>
                </c:rich>
              </c:tx>
              <c:showLegendKey val="0"/>
              <c:showVal val="1"/>
              <c:showCatName val="0"/>
              <c:showSerName val="0"/>
              <c:showPercent val="0"/>
              <c:showBubbleSize val="0"/>
              <c:extLst>
                <c:ext xmlns:c15="http://schemas.microsoft.com/office/drawing/2012/chart" uri="{CE6537A1-D6FC-4f65-9D91-7224C49458BB}">
                  <c15:layout/>
                  <c15:dlblFieldTable/>
                  <c15:showDataLabelsRange val="0"/>
                </c:ext>
                <c:ext xmlns:c16="http://schemas.microsoft.com/office/drawing/2014/chart" uri="{C3380CC4-5D6E-409C-BE32-E72D297353CC}">
                  <c16:uniqueId val="{00000001-8CD4-4DDC-809B-F98DE0ABF2AB}"/>
                </c:ext>
              </c:extLst>
            </c:dLbl>
            <c:dLbl>
              <c:idx val="35"/>
              <c:layout>
                <c:manualLayout>
                  <c:x val="-1.458333333333341E-2"/>
                  <c:y val="-4.5143081733860072E-2"/>
                </c:manualLayout>
              </c:layout>
              <c:tx>
                <c:rich>
                  <a:bodyPr/>
                  <a:lstStyle/>
                  <a:p>
                    <a:r>
                      <a:rPr lang="en-US"/>
                      <a:t>25 </a:t>
                    </a:r>
                  </a:p>
                  <a:p>
                    <a:r>
                      <a:rPr lang="en-US"/>
                      <a:t>Million</a:t>
                    </a:r>
                  </a:p>
                  <a:p>
                    <a:endParaRPr lang="en-US"/>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8CD4-4DDC-809B-F98DE0ABF2AB}"/>
                </c:ext>
              </c:extLst>
            </c:dLbl>
            <c:dLbl>
              <c:idx val="43"/>
              <c:layout>
                <c:manualLayout>
                  <c:x val="-4.7916666666666594E-2"/>
                  <c:y val="-5.1592093410125779E-2"/>
                </c:manualLayout>
              </c:layout>
              <c:tx>
                <c:rich>
                  <a:bodyPr/>
                  <a:lstStyle/>
                  <a:p>
                    <a:fld id="{2B4B4ECE-417B-4694-A210-354657CD4C3E}" type="VALUE">
                      <a:rPr lang="en-US"/>
                      <a:pPr/>
                      <a:t>[VALUE]</a:t>
                    </a:fld>
                    <a:r>
                      <a:rPr lang="en-US"/>
                      <a:t> </a:t>
                    </a:r>
                  </a:p>
                  <a:p>
                    <a:r>
                      <a:rPr lang="en-US"/>
                      <a:t>Million</a:t>
                    </a:r>
                  </a:p>
                </c:rich>
              </c:tx>
              <c:showLegendKey val="0"/>
              <c:showVal val="1"/>
              <c:showCatName val="0"/>
              <c:showSerName val="0"/>
              <c:showPercent val="0"/>
              <c:showBubbleSize val="0"/>
              <c:extLst>
                <c:ext xmlns:c15="http://schemas.microsoft.com/office/drawing/2012/chart" uri="{CE6537A1-D6FC-4f65-9D91-7224C49458BB}">
                  <c15:layout/>
                  <c15:dlblFieldTable/>
                  <c15:showDataLabelsRange val="0"/>
                </c:ext>
                <c:ext xmlns:c16="http://schemas.microsoft.com/office/drawing/2014/chart" uri="{C3380CC4-5D6E-409C-BE32-E72D297353CC}">
                  <c16:uniqueId val="{00000003-8CD4-4DDC-809B-F98DE0ABF2AB}"/>
                </c:ext>
              </c:extLst>
            </c:dLbl>
            <c:dLbl>
              <c:idx val="49"/>
              <c:layout>
                <c:manualLayout>
                  <c:x val="-6.0416666666666591E-2"/>
                  <c:y val="-4.1918575895727131E-2"/>
                </c:manualLayout>
              </c:layout>
              <c:tx>
                <c:rich>
                  <a:bodyPr/>
                  <a:lstStyle/>
                  <a:p>
                    <a:fld id="{D6AE9364-B5D4-45F3-BF12-2EA81D300429}" type="VALUE">
                      <a:rPr lang="en-US"/>
                      <a:pPr/>
                      <a:t>[VALUE]</a:t>
                    </a:fld>
                    <a:r>
                      <a:rPr lang="en-US"/>
                      <a:t> </a:t>
                    </a:r>
                  </a:p>
                  <a:p>
                    <a:r>
                      <a:rPr lang="en-US"/>
                      <a:t>Million</a:t>
                    </a:r>
                  </a:p>
                </c:rich>
              </c:tx>
              <c:showLegendKey val="0"/>
              <c:showVal val="1"/>
              <c:showCatName val="0"/>
              <c:showSerName val="0"/>
              <c:showPercent val="0"/>
              <c:showBubbleSize val="0"/>
              <c:extLst>
                <c:ext xmlns:c15="http://schemas.microsoft.com/office/drawing/2012/chart" uri="{CE6537A1-D6FC-4f65-9D91-7224C49458BB}">
                  <c15:layout/>
                  <c15:dlblFieldTable/>
                  <c15:showDataLabelsRange val="0"/>
                </c:ext>
                <c:ext xmlns:c16="http://schemas.microsoft.com/office/drawing/2014/chart" uri="{C3380CC4-5D6E-409C-BE32-E72D297353CC}">
                  <c16:uniqueId val="{00000004-8CD4-4DDC-809B-F98DE0ABF2AB}"/>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15:showLeaderLines val="0"/>
              </c:ext>
            </c:extLst>
          </c:dLbls>
          <c:cat>
            <c:numRef>
              <c:f>Sheet1!$A$2:$A$72</c:f>
              <c:numCache>
                <c:formatCode>General</c:formatCode>
                <c:ptCount val="71"/>
                <c:pt idx="0">
                  <c:v>1947</c:v>
                </c:pt>
                <c:pt idx="1">
                  <c:v>1948</c:v>
                </c:pt>
                <c:pt idx="2">
                  <c:v>1949</c:v>
                </c:pt>
                <c:pt idx="3">
                  <c:v>1950</c:v>
                </c:pt>
                <c:pt idx="4">
                  <c:v>1951</c:v>
                </c:pt>
                <c:pt idx="5">
                  <c:v>1952</c:v>
                </c:pt>
                <c:pt idx="6">
                  <c:v>1953</c:v>
                </c:pt>
                <c:pt idx="7">
                  <c:v>1954</c:v>
                </c:pt>
                <c:pt idx="8">
                  <c:v>1955</c:v>
                </c:pt>
                <c:pt idx="9">
                  <c:v>1956</c:v>
                </c:pt>
                <c:pt idx="10">
                  <c:v>1957</c:v>
                </c:pt>
                <c:pt idx="11">
                  <c:v>1958</c:v>
                </c:pt>
                <c:pt idx="12">
                  <c:v>1959</c:v>
                </c:pt>
                <c:pt idx="13">
                  <c:v>1960</c:v>
                </c:pt>
                <c:pt idx="14">
                  <c:v>1961</c:v>
                </c:pt>
                <c:pt idx="15">
                  <c:v>1962</c:v>
                </c:pt>
                <c:pt idx="16">
                  <c:v>1963</c:v>
                </c:pt>
                <c:pt idx="17">
                  <c:v>1964</c:v>
                </c:pt>
                <c:pt idx="18">
                  <c:v>1965</c:v>
                </c:pt>
                <c:pt idx="19">
                  <c:v>1966</c:v>
                </c:pt>
                <c:pt idx="20">
                  <c:v>1967</c:v>
                </c:pt>
                <c:pt idx="21">
                  <c:v>1968</c:v>
                </c:pt>
                <c:pt idx="22">
                  <c:v>1969</c:v>
                </c:pt>
                <c:pt idx="23">
                  <c:v>1970</c:v>
                </c:pt>
                <c:pt idx="24">
                  <c:v>1971</c:v>
                </c:pt>
                <c:pt idx="25">
                  <c:v>1972</c:v>
                </c:pt>
                <c:pt idx="26">
                  <c:v>1973</c:v>
                </c:pt>
                <c:pt idx="27">
                  <c:v>1974</c:v>
                </c:pt>
                <c:pt idx="28">
                  <c:v>1975</c:v>
                </c:pt>
                <c:pt idx="29">
                  <c:v>1976</c:v>
                </c:pt>
                <c:pt idx="30">
                  <c:v>1977</c:v>
                </c:pt>
                <c:pt idx="31">
                  <c:v>1978</c:v>
                </c:pt>
                <c:pt idx="32">
                  <c:v>1979</c:v>
                </c:pt>
                <c:pt idx="33">
                  <c:v>1980</c:v>
                </c:pt>
                <c:pt idx="34">
                  <c:v>1981</c:v>
                </c:pt>
                <c:pt idx="35">
                  <c:v>1982</c:v>
                </c:pt>
                <c:pt idx="36">
                  <c:v>1983</c:v>
                </c:pt>
                <c:pt idx="37">
                  <c:v>1984</c:v>
                </c:pt>
                <c:pt idx="38">
                  <c:v>1985</c:v>
                </c:pt>
                <c:pt idx="39">
                  <c:v>1986</c:v>
                </c:pt>
                <c:pt idx="40">
                  <c:v>1987</c:v>
                </c:pt>
                <c:pt idx="41">
                  <c:v>1988</c:v>
                </c:pt>
                <c:pt idx="42">
                  <c:v>1989</c:v>
                </c:pt>
                <c:pt idx="43">
                  <c:v>1990</c:v>
                </c:pt>
                <c:pt idx="44">
                  <c:v>1991</c:v>
                </c:pt>
                <c:pt idx="45">
                  <c:v>1992</c:v>
                </c:pt>
                <c:pt idx="46">
                  <c:v>1993</c:v>
                </c:pt>
                <c:pt idx="47">
                  <c:v>1994</c:v>
                </c:pt>
                <c:pt idx="48">
                  <c:v>1995</c:v>
                </c:pt>
                <c:pt idx="49">
                  <c:v>1996</c:v>
                </c:pt>
                <c:pt idx="50">
                  <c:v>1997</c:v>
                </c:pt>
                <c:pt idx="51">
                  <c:v>1998</c:v>
                </c:pt>
                <c:pt idx="52">
                  <c:v>1999</c:v>
                </c:pt>
                <c:pt idx="53">
                  <c:v>2000</c:v>
                </c:pt>
                <c:pt idx="54">
                  <c:v>2001</c:v>
                </c:pt>
                <c:pt idx="55">
                  <c:v>2002</c:v>
                </c:pt>
                <c:pt idx="56">
                  <c:v>2003</c:v>
                </c:pt>
                <c:pt idx="57">
                  <c:v>2004</c:v>
                </c:pt>
                <c:pt idx="58">
                  <c:v>2005</c:v>
                </c:pt>
                <c:pt idx="59">
                  <c:v>2006</c:v>
                </c:pt>
                <c:pt idx="60">
                  <c:v>2007</c:v>
                </c:pt>
                <c:pt idx="61">
                  <c:v>2008</c:v>
                </c:pt>
                <c:pt idx="62">
                  <c:v>2009</c:v>
                </c:pt>
                <c:pt idx="63">
                  <c:v>2010</c:v>
                </c:pt>
                <c:pt idx="64">
                  <c:v>2011</c:v>
                </c:pt>
                <c:pt idx="65">
                  <c:v>2012</c:v>
                </c:pt>
                <c:pt idx="66">
                  <c:v>2013</c:v>
                </c:pt>
                <c:pt idx="67">
                  <c:v>2014</c:v>
                </c:pt>
                <c:pt idx="68">
                  <c:v>2015</c:v>
                </c:pt>
                <c:pt idx="69">
                  <c:v>2016</c:v>
                </c:pt>
                <c:pt idx="70">
                  <c:v>2017</c:v>
                </c:pt>
              </c:numCache>
            </c:numRef>
          </c:cat>
          <c:val>
            <c:numRef>
              <c:f>Sheet1!$B$2:$B$72</c:f>
              <c:numCache>
                <c:formatCode>General</c:formatCode>
                <c:ptCount val="71"/>
                <c:pt idx="0">
                  <c:v>5</c:v>
                </c:pt>
                <c:pt idx="1">
                  <c:v>5</c:v>
                </c:pt>
                <c:pt idx="2">
                  <c:v>5</c:v>
                </c:pt>
                <c:pt idx="3">
                  <c:v>5</c:v>
                </c:pt>
                <c:pt idx="4">
                  <c:v>5</c:v>
                </c:pt>
                <c:pt idx="5">
                  <c:v>5</c:v>
                </c:pt>
                <c:pt idx="6">
                  <c:v>5</c:v>
                </c:pt>
                <c:pt idx="7">
                  <c:v>5</c:v>
                </c:pt>
                <c:pt idx="8">
                  <c:v>5</c:v>
                </c:pt>
                <c:pt idx="9">
                  <c:v>5</c:v>
                </c:pt>
                <c:pt idx="10">
                  <c:v>5</c:v>
                </c:pt>
                <c:pt idx="11">
                  <c:v>5</c:v>
                </c:pt>
                <c:pt idx="12">
                  <c:v>5</c:v>
                </c:pt>
                <c:pt idx="13">
                  <c:v>5</c:v>
                </c:pt>
                <c:pt idx="14">
                  <c:v>5</c:v>
                </c:pt>
                <c:pt idx="15">
                  <c:v>5</c:v>
                </c:pt>
                <c:pt idx="16">
                  <c:v>5</c:v>
                </c:pt>
                <c:pt idx="17">
                  <c:v>5</c:v>
                </c:pt>
                <c:pt idx="18">
                  <c:v>5</c:v>
                </c:pt>
                <c:pt idx="19">
                  <c:v>5</c:v>
                </c:pt>
                <c:pt idx="20">
                  <c:v>5</c:v>
                </c:pt>
                <c:pt idx="21">
                  <c:v>10</c:v>
                </c:pt>
                <c:pt idx="22">
                  <c:v>10</c:v>
                </c:pt>
                <c:pt idx="23">
                  <c:v>10</c:v>
                </c:pt>
                <c:pt idx="24">
                  <c:v>10</c:v>
                </c:pt>
                <c:pt idx="25">
                  <c:v>10</c:v>
                </c:pt>
                <c:pt idx="26">
                  <c:v>10</c:v>
                </c:pt>
                <c:pt idx="27">
                  <c:v>10</c:v>
                </c:pt>
                <c:pt idx="28">
                  <c:v>10</c:v>
                </c:pt>
                <c:pt idx="29">
                  <c:v>10</c:v>
                </c:pt>
                <c:pt idx="30">
                  <c:v>10</c:v>
                </c:pt>
                <c:pt idx="31">
                  <c:v>10</c:v>
                </c:pt>
                <c:pt idx="32">
                  <c:v>10</c:v>
                </c:pt>
                <c:pt idx="33">
                  <c:v>10</c:v>
                </c:pt>
                <c:pt idx="34">
                  <c:v>10</c:v>
                </c:pt>
                <c:pt idx="35">
                  <c:v>25</c:v>
                </c:pt>
                <c:pt idx="36">
                  <c:v>25</c:v>
                </c:pt>
                <c:pt idx="37">
                  <c:v>25</c:v>
                </c:pt>
                <c:pt idx="38">
                  <c:v>25</c:v>
                </c:pt>
                <c:pt idx="39">
                  <c:v>25</c:v>
                </c:pt>
                <c:pt idx="40">
                  <c:v>25</c:v>
                </c:pt>
                <c:pt idx="41">
                  <c:v>25</c:v>
                </c:pt>
                <c:pt idx="42">
                  <c:v>50</c:v>
                </c:pt>
                <c:pt idx="43">
                  <c:v>50</c:v>
                </c:pt>
                <c:pt idx="44">
                  <c:v>50</c:v>
                </c:pt>
                <c:pt idx="45">
                  <c:v>50</c:v>
                </c:pt>
                <c:pt idx="46">
                  <c:v>50</c:v>
                </c:pt>
                <c:pt idx="47">
                  <c:v>50</c:v>
                </c:pt>
                <c:pt idx="48">
                  <c:v>50</c:v>
                </c:pt>
                <c:pt idx="49">
                  <c:v>250</c:v>
                </c:pt>
                <c:pt idx="50">
                  <c:v>250</c:v>
                </c:pt>
                <c:pt idx="51">
                  <c:v>250</c:v>
                </c:pt>
                <c:pt idx="52">
                  <c:v>250</c:v>
                </c:pt>
                <c:pt idx="53">
                  <c:v>250</c:v>
                </c:pt>
                <c:pt idx="54">
                  <c:v>250</c:v>
                </c:pt>
                <c:pt idx="55">
                  <c:v>250</c:v>
                </c:pt>
                <c:pt idx="56">
                  <c:v>250</c:v>
                </c:pt>
                <c:pt idx="57">
                  <c:v>250</c:v>
                </c:pt>
                <c:pt idx="58">
                  <c:v>250</c:v>
                </c:pt>
                <c:pt idx="59">
                  <c:v>250</c:v>
                </c:pt>
                <c:pt idx="60">
                  <c:v>250</c:v>
                </c:pt>
                <c:pt idx="61">
                  <c:v>250</c:v>
                </c:pt>
                <c:pt idx="62">
                  <c:v>250</c:v>
                </c:pt>
                <c:pt idx="63">
                  <c:v>250</c:v>
                </c:pt>
                <c:pt idx="64">
                  <c:v>250</c:v>
                </c:pt>
                <c:pt idx="65">
                  <c:v>250</c:v>
                </c:pt>
                <c:pt idx="66">
                  <c:v>250</c:v>
                </c:pt>
                <c:pt idx="67">
                  <c:v>250</c:v>
                </c:pt>
                <c:pt idx="68">
                  <c:v>250</c:v>
                </c:pt>
                <c:pt idx="69">
                  <c:v>250</c:v>
                </c:pt>
                <c:pt idx="70">
                  <c:v>250</c:v>
                </c:pt>
              </c:numCache>
            </c:numRef>
          </c:val>
          <c:smooth val="0"/>
          <c:extLst>
            <c:ext xmlns:c16="http://schemas.microsoft.com/office/drawing/2014/chart" uri="{C3380CC4-5D6E-409C-BE32-E72D297353CC}">
              <c16:uniqueId val="{00000005-8CD4-4DDC-809B-F98DE0ABF2AB}"/>
            </c:ext>
          </c:extLst>
        </c:ser>
        <c:dLbls>
          <c:showLegendKey val="0"/>
          <c:showVal val="0"/>
          <c:showCatName val="0"/>
          <c:showSerName val="0"/>
          <c:showPercent val="0"/>
          <c:showBubbleSize val="0"/>
        </c:dLbls>
        <c:smooth val="0"/>
        <c:axId val="834267200"/>
        <c:axId val="834267528"/>
      </c:lineChart>
      <c:catAx>
        <c:axId val="834267200"/>
        <c:scaling>
          <c:orientation val="minMax"/>
        </c:scaling>
        <c:delete val="0"/>
        <c:axPos val="b"/>
        <c:majorGridlines>
          <c:spPr>
            <a:ln w="9525" cap="flat" cmpd="sng" algn="ctr">
              <a:solidFill>
                <a:schemeClr val="tx1"/>
              </a:solidFill>
              <a:round/>
            </a:ln>
            <a:effectLst/>
          </c:spPr>
        </c:majorGridlines>
        <c:numFmt formatCode="General" sourceLinked="1"/>
        <c:majorTickMark val="none"/>
        <c:minorTickMark val="none"/>
        <c:tickLblPos val="nextTo"/>
        <c:spPr>
          <a:noFill/>
          <a:ln w="3175" cap="flat" cmpd="sng" algn="ctr">
            <a:solidFill>
              <a:schemeClr val="tx1">
                <a:lumMod val="15000"/>
                <a:lumOff val="85000"/>
              </a:schemeClr>
            </a:solidFill>
            <a:round/>
            <a:tailEnd type="none" w="med" len="lg"/>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34267528"/>
        <c:crosses val="autoZero"/>
        <c:auto val="1"/>
        <c:lblAlgn val="ctr"/>
        <c:lblOffset val="100"/>
        <c:tickLblSkip val="5"/>
        <c:tickMarkSkip val="5"/>
        <c:noMultiLvlLbl val="0"/>
      </c:catAx>
      <c:valAx>
        <c:axId val="834267528"/>
        <c:scaling>
          <c:orientation val="minMax"/>
        </c:scaling>
        <c:delete val="0"/>
        <c:axPos val="l"/>
        <c:majorGridlines>
          <c:spPr>
            <a:ln w="9525" cap="flat" cmpd="sng" algn="ctr">
              <a:solidFill>
                <a:schemeClr val="tx1">
                  <a:lumMod val="15000"/>
                  <a:lumOff val="85000"/>
                  <a:alpha val="32000"/>
                </a:schemeClr>
              </a:solidFill>
              <a:round/>
            </a:ln>
            <a:effectLst/>
          </c:spPr>
        </c:majorGridlines>
        <c:numFmt formatCode="[$$-409]#,##0" sourceLinked="0"/>
        <c:majorTickMark val="none"/>
        <c:minorTickMark val="none"/>
        <c:tickLblPos val="nextTo"/>
        <c:spPr>
          <a:noFill/>
          <a:ln w="3175" cap="flat" cmpd="sng" algn="ctr">
            <a:solidFill>
              <a:schemeClr val="tx1">
                <a:lumMod val="15000"/>
                <a:lumOff val="85000"/>
              </a:schemeClr>
            </a:solidFill>
            <a:round/>
            <a:tailEnd type="none" w="med" len="lg"/>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34267200"/>
        <c:crossesAt val="1"/>
        <c:crossBetween val="midCat"/>
      </c:valAx>
      <c:spPr>
        <a:noFill/>
        <a:ln>
          <a:noFill/>
        </a:ln>
        <a:effectLst/>
      </c:spPr>
    </c:plotArea>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37">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3175" cap="flat" cmpd="sng" algn="ctr">
        <a:solidFill>
          <a:schemeClr val="tx1">
            <a:lumMod val="15000"/>
            <a:lumOff val="85000"/>
          </a:schemeClr>
        </a:solidFill>
        <a:round/>
        <a:tailEnd type="none" w="med" len="lg"/>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solidFill>
    </cs:spPr>
  </cs:dataPoint>
  <cs:dataPoint3D>
    <cs:lnRef idx="0"/>
    <cs:fillRef idx="0">
      <cs:styleClr val="auto"/>
    </cs:fillRef>
    <cs:effectRef idx="0"/>
    <cs:fontRef idx="minor">
      <a:schemeClr val="tx1"/>
    </cs:fontRef>
    <cs:spPr>
      <a:solidFill>
        <a:schemeClr val="phClr"/>
      </a:solidFill>
    </cs:spPr>
  </cs:dataPoint3D>
  <cs:dataPointLine>
    <cs:lnRef idx="0">
      <cs:styleClr val="auto"/>
    </cs:lnRef>
    <cs:fillRef idx="0"/>
    <cs:effectRef idx="0"/>
    <cs:fontRef idx="minor">
      <a:schemeClr val="tx1"/>
    </cs:fontRef>
    <cs:spPr>
      <a:ln w="38100" cap="flat" cmpd="dbl" algn="ctr">
        <a:solidFill>
          <a:schemeClr val="phClr"/>
        </a:solidFill>
        <a:miter lim="800000"/>
      </a:ln>
    </cs:spPr>
  </cs:dataPointLine>
  <cs:dataPointMarker>
    <cs:lnRef idx="0">
      <cs:styleClr val="auto"/>
    </cs:lnRef>
    <cs:fillRef idx="0">
      <cs:styleClr val="auto"/>
    </cs:fillRef>
    <cs:effectRef idx="0"/>
    <cs:fontRef idx="minor">
      <a:schemeClr val="tx1"/>
    </cs:fontRef>
    <cs:spPr>
      <a:solidFill>
        <a:schemeClr val="phClr"/>
      </a:solidFill>
      <a:ln w="9525" cap="flat" cmpd="sng" algn="ctr">
        <a:solidFill>
          <a:schemeClr val="lt1"/>
        </a:solidFill>
        <a:round/>
      </a:ln>
    </cs:spPr>
  </cs:dataPointMarker>
  <cs:dataPointMarkerLayout symbol="circle" size="6"/>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tx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tx1"/>
    </cs:fontRef>
    <cs:spPr>
      <a:ln w="9525">
        <a:solidFill>
          <a:schemeClr val="tx1">
            <a:lumMod val="35000"/>
            <a:lumOff val="65000"/>
          </a:schemeClr>
        </a:solidFill>
      </a:ln>
    </cs:spPr>
  </cs:dropLine>
  <cs:errorBar>
    <cs:lnRef idx="0"/>
    <cs:fillRef idx="0"/>
    <cs:effectRef idx="0"/>
    <cs:fontRef idx="minor">
      <a:schemeClr val="tx1"/>
    </cs:fontRef>
    <cs:spPr>
      <a:ln w="9525">
        <a:solidFill>
          <a:schemeClr val="tx1">
            <a:lumMod val="65000"/>
            <a:lumOff val="35000"/>
          </a:schemeClr>
        </a:solidFill>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tx1">
            <a:lumMod val="15000"/>
            <a:lumOff val="85000"/>
            <a:alpha val="32000"/>
          </a:schemeClr>
        </a:solidFill>
        <a:round/>
      </a:ln>
    </cs:spPr>
  </cs:gridlineMajor>
  <cs:gridlineMinor>
    <cs:lnRef idx="0"/>
    <cs:fillRef idx="0"/>
    <cs:effectRef idx="0"/>
    <cs:fontRef idx="minor">
      <a:schemeClr val="tx1"/>
    </cs:fontRef>
    <cs:spPr>
      <a:ln>
        <a:solidFill>
          <a:schemeClr val="tx1">
            <a:lumMod val="5000"/>
            <a:lumOff val="95000"/>
            <a:alpha val="32000"/>
          </a:schemeClr>
        </a:solidFill>
      </a:ln>
    </cs:spPr>
  </cs:gridlineMinor>
  <cs:hiLoLine>
    <cs:lnRef idx="0"/>
    <cs:fillRef idx="0"/>
    <cs:effectRef idx="0"/>
    <cs:fontRef idx="minor">
      <a:schemeClr val="tx1"/>
    </cs:fontRef>
    <cs:spPr>
      <a:ln w="9525">
        <a:solidFill>
          <a:schemeClr val="tx1"/>
        </a:solidFill>
      </a:ln>
    </cs:spPr>
  </cs:hiLoLine>
  <cs:leaderLine>
    <cs:lnRef idx="0"/>
    <cs:fillRef idx="0"/>
    <cs:effectRef idx="0"/>
    <cs:fontRef idx="minor">
      <a:schemeClr val="tx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cs:fontRef>
    <cs:spPr>
      <a:ln w="3175" cap="flat" cmpd="sng" algn="ctr">
        <a:solidFill>
          <a:schemeClr val="tx1">
            <a:lumMod val="15000"/>
            <a:lumOff val="85000"/>
          </a:schemeClr>
        </a:solidFill>
        <a:round/>
        <a:tailEnd type="none" w="med" len="lg"/>
      </a:ln>
    </cs:spPr>
    <cs:defRPr sz="900" kern="1200"/>
  </cs:seriesAxis>
  <cs:seriesLine>
    <cs:lnRef idx="0"/>
    <cs:fillRef idx="0"/>
    <cs:effectRef idx="0"/>
    <cs:fontRef idx="minor">
      <a:schemeClr val="tx1"/>
    </cs:fontRef>
    <cs:spPr>
      <a:ln w="9525">
        <a:solidFill>
          <a:schemeClr val="tx1">
            <a:lumMod val="35000"/>
            <a:lumOff val="65000"/>
          </a:schemeClr>
        </a:solidFill>
      </a:ln>
    </cs:spPr>
  </cs:seriesLine>
  <cs:title>
    <cs:lnRef idx="0"/>
    <cs:fillRef idx="0"/>
    <cs:effectRef idx="0"/>
    <cs:fontRef idx="minor">
      <a:schemeClr val="tx1">
        <a:lumMod val="50000"/>
        <a:lumOff val="50000"/>
      </a:schemeClr>
    </cs:fontRef>
    <cs:defRPr sz="1800" b="1" kern="1200" cap="all" spc="150" baseline="0"/>
  </cs:title>
  <cs:trendline>
    <cs:lnRef idx="0">
      <cs:styleClr val="auto"/>
    </cs:lnRef>
    <cs:fillRef idx="0"/>
    <cs:effectRef idx="0"/>
    <cs:fontRef idx="minor">
      <a:schemeClr val="tx1"/>
    </cs:fontRef>
    <cs:spPr>
      <a:ln w="12700" cap="rnd"/>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3175" cap="flat" cmpd="sng" algn="ctr">
        <a:solidFill>
          <a:schemeClr val="tx1">
            <a:lumMod val="15000"/>
            <a:lumOff val="85000"/>
          </a:schemeClr>
        </a:solidFill>
        <a:round/>
        <a:tailEnd type="none" w="med" len="lg"/>
      </a:ln>
    </cs:spPr>
    <cs:defRPr sz="900" kern="1200"/>
  </cs:valueAxis>
  <cs:wall>
    <cs:lnRef idx="0"/>
    <cs:fillRef idx="0"/>
    <cs:effectRef idx="0"/>
    <cs:fontRef idx="minor">
      <a:schemeClr val="tx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CC2CB894</Template>
  <TotalTime>0</TotalTime>
  <Pages>6</Pages>
  <Words>1405</Words>
  <Characters>8013</Characters>
  <Application>Microsoft Office Word</Application>
  <DocSecurity>4</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Bureau of the Census</Company>
  <LinksUpToDate>false</LinksUpToDate>
  <CharactersWithSpaces>9400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Brooks Hurry (CENSUS/EID FED)</dc:creator>
  <cp:keywords/>
  <dc:description/>
  <cp:lastModifiedBy>Brandi Maxson (CENSUS/EID FED)</cp:lastModifiedBy>
  <cp:revision>2</cp:revision>
  <cp:lastPrinted>2019-08-06T19:46:00Z</cp:lastPrinted>
  <dcterms:created xsi:type="dcterms:W3CDTF">2019-09-26T14:34:00Z</dcterms:created>
  <dcterms:modified xsi:type="dcterms:W3CDTF">2019-09-26T14:34:00Z</dcterms:modified>
</cp:coreProperties>
</file>